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FDA67" w14:textId="77777777" w:rsidR="007B1FC8" w:rsidRDefault="002F45C1" w:rsidP="002F45C1">
      <w:pPr>
        <w:spacing w:after="0"/>
        <w:rPr>
          <w:rFonts w:ascii="Arial" w:hAnsi="Arial" w:cs="Arial"/>
          <w:b/>
          <w:color w:val="006666"/>
          <w:sz w:val="40"/>
          <w:szCs w:val="40"/>
        </w:rPr>
      </w:pPr>
      <w:r w:rsidRPr="005F6852">
        <w:rPr>
          <w:rFonts w:ascii="Arial" w:hAnsi="Arial" w:cs="Arial"/>
          <w:b/>
          <w:noProof/>
          <w:color w:val="006666"/>
          <w:sz w:val="40"/>
          <w:szCs w:val="40"/>
          <w:lang w:eastAsia="en-GB"/>
        </w:rPr>
        <w:drawing>
          <wp:anchor distT="0" distB="0" distL="114300" distR="114300" simplePos="0" relativeHeight="251659264" behindDoc="0" locked="0" layoutInCell="1" allowOverlap="1" wp14:anchorId="025DF795" wp14:editId="69EFC1A1">
            <wp:simplePos x="0" y="0"/>
            <wp:positionH relativeFrom="margin">
              <wp:posOffset>7324725</wp:posOffset>
            </wp:positionH>
            <wp:positionV relativeFrom="paragraph">
              <wp:posOffset>0</wp:posOffset>
            </wp:positionV>
            <wp:extent cx="1876425" cy="7318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731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FC8">
        <w:rPr>
          <w:rFonts w:ascii="Arial" w:hAnsi="Arial" w:cs="Arial"/>
          <w:noProof/>
          <w:lang w:eastAsia="en-GB"/>
        </w:rPr>
        <w:drawing>
          <wp:anchor distT="0" distB="0" distL="114300" distR="114300" simplePos="0" relativeHeight="251660288" behindDoc="1" locked="0" layoutInCell="1" allowOverlap="1" wp14:anchorId="2DE4332A" wp14:editId="268B8C2E">
            <wp:simplePos x="0" y="0"/>
            <wp:positionH relativeFrom="margin">
              <wp:posOffset>5295265</wp:posOffset>
            </wp:positionH>
            <wp:positionV relativeFrom="paragraph">
              <wp:posOffset>-152400</wp:posOffset>
            </wp:positionV>
            <wp:extent cx="1857375" cy="1119056"/>
            <wp:effectExtent l="0" t="0" r="0" b="5080"/>
            <wp:wrapNone/>
            <wp:docPr id="2" name="Picture 2" descr="X:\NERC DTP\1. ENVEAST NERC DTP1\Documents and Templates\Logos\EnvEast logos\JPG - For web and email\ENV-East-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ERC DTP\1. ENVEAST NERC DTP1\Documents and Templates\Logos\EnvEast logos\JPG - For web and email\ENV-East-Colour-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119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FC8">
        <w:rPr>
          <w:rFonts w:ascii="Arial" w:hAnsi="Arial" w:cs="Arial"/>
          <w:b/>
          <w:color w:val="006666"/>
          <w:sz w:val="40"/>
          <w:szCs w:val="40"/>
        </w:rPr>
        <w:t>Coronavirus</w:t>
      </w:r>
      <w:r>
        <w:rPr>
          <w:rFonts w:ascii="Arial" w:hAnsi="Arial" w:cs="Arial"/>
          <w:b/>
          <w:color w:val="006666"/>
          <w:sz w:val="40"/>
          <w:szCs w:val="40"/>
        </w:rPr>
        <w:t xml:space="preserve"> </w:t>
      </w:r>
      <w:r w:rsidR="007B1FC8">
        <w:rPr>
          <w:rFonts w:ascii="Arial" w:hAnsi="Arial" w:cs="Arial"/>
          <w:b/>
          <w:color w:val="006666"/>
          <w:sz w:val="40"/>
          <w:szCs w:val="40"/>
        </w:rPr>
        <w:t>(SARS-CoV-2/COVID-19)</w:t>
      </w:r>
    </w:p>
    <w:p w14:paraId="720A8286" w14:textId="77777777" w:rsidR="007B1FC8" w:rsidRDefault="007B1FC8" w:rsidP="002F45C1">
      <w:pPr>
        <w:spacing w:after="0"/>
        <w:rPr>
          <w:rFonts w:ascii="Arial" w:hAnsi="Arial" w:cs="Arial"/>
          <w:b/>
          <w:color w:val="006666"/>
          <w:sz w:val="40"/>
          <w:szCs w:val="40"/>
        </w:rPr>
      </w:pPr>
      <w:r>
        <w:rPr>
          <w:rFonts w:ascii="Arial" w:hAnsi="Arial" w:cs="Arial"/>
          <w:b/>
          <w:color w:val="006666"/>
          <w:sz w:val="40"/>
          <w:szCs w:val="40"/>
        </w:rPr>
        <w:t>DTP Contingency Plan</w:t>
      </w:r>
    </w:p>
    <w:p w14:paraId="183E381B" w14:textId="77777777" w:rsidR="002F45C1" w:rsidRPr="002F45C1" w:rsidRDefault="002F45C1" w:rsidP="002F45C1">
      <w:pPr>
        <w:spacing w:after="0"/>
        <w:rPr>
          <w:rFonts w:ascii="Arial" w:hAnsi="Arial" w:cs="Arial"/>
          <w:b/>
          <w:color w:val="006666"/>
          <w:sz w:val="40"/>
          <w:szCs w:val="40"/>
        </w:rPr>
      </w:pPr>
    </w:p>
    <w:p w14:paraId="25FB2D2A" w14:textId="4AAE08EF" w:rsidR="007B1FC8" w:rsidRPr="002F45C1" w:rsidRDefault="00084923" w:rsidP="007B1FC8">
      <w:pPr>
        <w:rPr>
          <w:rFonts w:ascii="Arial" w:hAnsi="Arial" w:cs="Arial"/>
          <w:noProof/>
          <w:color w:val="009999"/>
          <w:sz w:val="28"/>
          <w:szCs w:val="28"/>
        </w:rPr>
      </w:pPr>
      <w:r>
        <w:rPr>
          <w:rFonts w:ascii="Arial" w:hAnsi="Arial" w:cs="Arial"/>
          <w:color w:val="009999"/>
          <w:sz w:val="28"/>
          <w:szCs w:val="28"/>
        </w:rPr>
        <w:t xml:space="preserve">Last updated </w:t>
      </w:r>
      <w:r w:rsidR="00C65194">
        <w:rPr>
          <w:rFonts w:ascii="Arial" w:hAnsi="Arial" w:cs="Arial"/>
          <w:color w:val="009999"/>
          <w:sz w:val="28"/>
          <w:szCs w:val="28"/>
        </w:rPr>
        <w:t>23</w:t>
      </w:r>
      <w:r w:rsidR="007F065A">
        <w:rPr>
          <w:rFonts w:ascii="Arial" w:hAnsi="Arial" w:cs="Arial"/>
          <w:color w:val="009999"/>
          <w:sz w:val="28"/>
          <w:szCs w:val="28"/>
        </w:rPr>
        <w:t xml:space="preserve"> </w:t>
      </w:r>
      <w:r w:rsidR="00C65194">
        <w:rPr>
          <w:rFonts w:ascii="Arial" w:hAnsi="Arial" w:cs="Arial"/>
          <w:color w:val="009999"/>
          <w:sz w:val="28"/>
          <w:szCs w:val="28"/>
        </w:rPr>
        <w:t>September 2021</w:t>
      </w:r>
    </w:p>
    <w:p w14:paraId="3000776E" w14:textId="77777777" w:rsidR="007B1FC8" w:rsidRDefault="007B1FC8" w:rsidP="002F45C1">
      <w:pPr>
        <w:spacing w:before="120" w:after="120"/>
        <w:jc w:val="center"/>
        <w:outlineLvl w:val="0"/>
        <w:rPr>
          <w:b/>
        </w:rPr>
      </w:pPr>
      <w:r>
        <w:rPr>
          <w:rFonts w:ascii="Arial" w:hAnsi="Arial" w:cs="Arial"/>
          <w:noProof/>
          <w:lang w:eastAsia="en-GB"/>
        </w:rPr>
        <w:drawing>
          <wp:anchor distT="0" distB="0" distL="114300" distR="114300" simplePos="0" relativeHeight="251661312" behindDoc="0" locked="0" layoutInCell="1" allowOverlap="1" wp14:anchorId="528D83D9" wp14:editId="1A07EC15">
            <wp:simplePos x="0" y="0"/>
            <wp:positionH relativeFrom="page">
              <wp:align>center</wp:align>
            </wp:positionH>
            <wp:positionV relativeFrom="paragraph">
              <wp:posOffset>123825</wp:posOffset>
            </wp:positionV>
            <wp:extent cx="9360000" cy="32400"/>
            <wp:effectExtent l="0" t="0" r="0" b="5715"/>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raded title bar.png"/>
                    <pic:cNvPicPr/>
                  </pic:nvPicPr>
                  <pic:blipFill>
                    <a:blip r:embed="rId7">
                      <a:extLst>
                        <a:ext uri="{28A0092B-C50C-407E-A947-70E740481C1C}">
                          <a14:useLocalDpi xmlns:a14="http://schemas.microsoft.com/office/drawing/2010/main" val="0"/>
                        </a:ext>
                      </a:extLst>
                    </a:blip>
                    <a:stretch>
                      <a:fillRect/>
                    </a:stretch>
                  </pic:blipFill>
                  <pic:spPr>
                    <a:xfrm>
                      <a:off x="0" y="0"/>
                      <a:ext cx="9360000" cy="32400"/>
                    </a:xfrm>
                    <a:prstGeom prst="rect">
                      <a:avLst/>
                    </a:prstGeom>
                  </pic:spPr>
                </pic:pic>
              </a:graphicData>
            </a:graphic>
            <wp14:sizeRelH relativeFrom="margin">
              <wp14:pctWidth>0</wp14:pctWidth>
            </wp14:sizeRelH>
            <wp14:sizeRelV relativeFrom="margin">
              <wp14:pctHeight>0</wp14:pctHeight>
            </wp14:sizeRelV>
          </wp:anchor>
        </w:drawing>
      </w:r>
    </w:p>
    <w:p w14:paraId="1CF28244" w14:textId="77777777" w:rsidR="0030027B" w:rsidRPr="002F45C1" w:rsidRDefault="0030027B" w:rsidP="002F45C1">
      <w:pPr>
        <w:rPr>
          <w:rFonts w:ascii="Arial" w:hAnsi="Arial" w:cs="Arial"/>
        </w:rPr>
      </w:pPr>
      <w:r w:rsidRPr="002F45C1">
        <w:rPr>
          <w:rFonts w:ascii="Arial" w:hAnsi="Arial" w:cs="Arial"/>
        </w:rPr>
        <w:t xml:space="preserve">This plan is guided by the </w:t>
      </w:r>
      <w:hyperlink r:id="rId8" w:history="1">
        <w:r w:rsidRPr="002F45C1">
          <w:rPr>
            <w:rStyle w:val="Hyperlink"/>
            <w:rFonts w:ascii="Arial" w:hAnsi="Arial" w:cs="Arial"/>
          </w:rPr>
          <w:t>UK government’s advice to the education sector</w:t>
        </w:r>
      </w:hyperlink>
      <w:r w:rsidRPr="002F45C1">
        <w:rPr>
          <w:rFonts w:ascii="Arial" w:hAnsi="Arial" w:cs="Arial"/>
        </w:rPr>
        <w:t xml:space="preserve">, </w:t>
      </w:r>
      <w:r w:rsidR="007B1FC8" w:rsidRPr="002F45C1">
        <w:rPr>
          <w:rFonts w:ascii="Arial" w:hAnsi="Arial" w:cs="Arial"/>
        </w:rPr>
        <w:t xml:space="preserve">and </w:t>
      </w:r>
      <w:hyperlink r:id="rId9" w:history="1">
        <w:r w:rsidR="007B1FC8" w:rsidRPr="002F45C1">
          <w:rPr>
            <w:rStyle w:val="Hyperlink"/>
            <w:rFonts w:ascii="Arial" w:hAnsi="Arial" w:cs="Arial"/>
          </w:rPr>
          <w:t>guidance from NERC/UKRI</w:t>
        </w:r>
      </w:hyperlink>
      <w:r w:rsidR="007B1FC8" w:rsidRPr="002F45C1">
        <w:rPr>
          <w:rFonts w:ascii="Arial" w:hAnsi="Arial" w:cs="Arial"/>
        </w:rPr>
        <w:t>.</w:t>
      </w:r>
    </w:p>
    <w:p w14:paraId="1E7C333C" w14:textId="77777777" w:rsidR="002F45C1" w:rsidRPr="007F065A" w:rsidRDefault="007F065A" w:rsidP="0030027B">
      <w:pPr>
        <w:rPr>
          <w:rFonts w:ascii="Arial" w:hAnsi="Arial" w:cs="Arial"/>
          <w:b/>
          <w:bCs/>
        </w:rPr>
      </w:pPr>
      <w:r>
        <w:rPr>
          <w:rFonts w:ascii="Arial" w:hAnsi="Arial" w:cs="Arial"/>
          <w:noProof/>
          <w:lang w:eastAsia="en-GB"/>
        </w:rPr>
        <w:drawing>
          <wp:anchor distT="0" distB="0" distL="114300" distR="114300" simplePos="0" relativeHeight="251663360" behindDoc="0" locked="0" layoutInCell="1" allowOverlap="1" wp14:anchorId="3CF8A9B6" wp14:editId="2A937AEB">
            <wp:simplePos x="0" y="0"/>
            <wp:positionH relativeFrom="page">
              <wp:posOffset>670348</wp:posOffset>
            </wp:positionH>
            <wp:positionV relativeFrom="paragraph">
              <wp:posOffset>495300</wp:posOffset>
            </wp:positionV>
            <wp:extent cx="9360000" cy="32400"/>
            <wp:effectExtent l="0" t="0" r="0" b="5715"/>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raded title bar.png"/>
                    <pic:cNvPicPr/>
                  </pic:nvPicPr>
                  <pic:blipFill>
                    <a:blip r:embed="rId7">
                      <a:extLst>
                        <a:ext uri="{28A0092B-C50C-407E-A947-70E740481C1C}">
                          <a14:useLocalDpi xmlns:a14="http://schemas.microsoft.com/office/drawing/2010/main" val="0"/>
                        </a:ext>
                      </a:extLst>
                    </a:blip>
                    <a:stretch>
                      <a:fillRect/>
                    </a:stretch>
                  </pic:blipFill>
                  <pic:spPr>
                    <a:xfrm>
                      <a:off x="0" y="0"/>
                      <a:ext cx="9360000" cy="32400"/>
                    </a:xfrm>
                    <a:prstGeom prst="rect">
                      <a:avLst/>
                    </a:prstGeom>
                  </pic:spPr>
                </pic:pic>
              </a:graphicData>
            </a:graphic>
            <wp14:sizeRelH relativeFrom="margin">
              <wp14:pctWidth>0</wp14:pctWidth>
            </wp14:sizeRelH>
            <wp14:sizeRelV relativeFrom="margin">
              <wp14:pctHeight>0</wp14:pctHeight>
            </wp14:sizeRelV>
          </wp:anchor>
        </w:drawing>
      </w:r>
      <w:r w:rsidR="00BF06A0" w:rsidRPr="002F45C1">
        <w:rPr>
          <w:rFonts w:ascii="Arial" w:hAnsi="Arial" w:cs="Arial"/>
          <w:b/>
          <w:bCs/>
        </w:rPr>
        <w:t xml:space="preserve">Please keep up to date with your University / institution’s guidance for PGR students, as the situation is rapidly changing. Further guidance will be published by the EnvEast / ARIES DTPs as </w:t>
      </w:r>
      <w:r>
        <w:rPr>
          <w:rFonts w:ascii="Arial" w:hAnsi="Arial" w:cs="Arial"/>
          <w:b/>
          <w:bCs/>
        </w:rPr>
        <w:t>it becomes available.</w:t>
      </w:r>
    </w:p>
    <w:p w14:paraId="1DC6580B" w14:textId="77777777" w:rsidR="002F45C1" w:rsidRDefault="002F45C1" w:rsidP="0030027B">
      <w:pPr>
        <w:rPr>
          <w:rFonts w:ascii="Arial" w:hAnsi="Arial" w:cs="Arial"/>
          <w:b/>
          <w:color w:val="006666"/>
          <w:sz w:val="28"/>
          <w:szCs w:val="28"/>
        </w:rPr>
      </w:pPr>
    </w:p>
    <w:p w14:paraId="5D2C7044" w14:textId="77777777" w:rsidR="0030027B" w:rsidRPr="002F45C1" w:rsidRDefault="0030027B" w:rsidP="0030027B">
      <w:pPr>
        <w:rPr>
          <w:rFonts w:ascii="Arial" w:hAnsi="Arial" w:cs="Arial"/>
          <w:b/>
          <w:color w:val="006666"/>
          <w:sz w:val="28"/>
          <w:szCs w:val="28"/>
        </w:rPr>
      </w:pPr>
      <w:r w:rsidRPr="002F45C1">
        <w:rPr>
          <w:rFonts w:ascii="Arial" w:hAnsi="Arial" w:cs="Arial"/>
          <w:b/>
          <w:color w:val="006666"/>
          <w:sz w:val="28"/>
          <w:szCs w:val="28"/>
        </w:rPr>
        <w:t>Principles</w:t>
      </w:r>
    </w:p>
    <w:p w14:paraId="0CDBCB7B" w14:textId="77777777" w:rsidR="00F87493" w:rsidRPr="002F45C1" w:rsidRDefault="0030027B" w:rsidP="002F45C1">
      <w:pPr>
        <w:pStyle w:val="ListParagraph"/>
        <w:numPr>
          <w:ilvl w:val="0"/>
          <w:numId w:val="5"/>
        </w:numPr>
        <w:rPr>
          <w:rFonts w:ascii="Arial" w:hAnsi="Arial" w:cs="Arial"/>
        </w:rPr>
      </w:pPr>
      <w:r w:rsidRPr="002F45C1">
        <w:rPr>
          <w:rFonts w:ascii="Arial" w:hAnsi="Arial" w:cs="Arial"/>
        </w:rPr>
        <w:t xml:space="preserve">Students and staff involved in </w:t>
      </w:r>
      <w:r w:rsidR="00F87493" w:rsidRPr="002F45C1">
        <w:rPr>
          <w:rFonts w:ascii="Arial" w:hAnsi="Arial" w:cs="Arial"/>
        </w:rPr>
        <w:t xml:space="preserve">EnvEast / ARIES </w:t>
      </w:r>
      <w:r w:rsidRPr="002F45C1">
        <w:rPr>
          <w:rFonts w:ascii="Arial" w:hAnsi="Arial" w:cs="Arial"/>
        </w:rPr>
        <w:t>activities (funded or otherwise supported by the consortium) should be able to follow advi</w:t>
      </w:r>
      <w:r w:rsidR="007F065A">
        <w:rPr>
          <w:rFonts w:ascii="Arial" w:hAnsi="Arial" w:cs="Arial"/>
        </w:rPr>
        <w:t>ce to minimise infection without</w:t>
      </w:r>
      <w:r w:rsidRPr="002F45C1">
        <w:rPr>
          <w:rFonts w:ascii="Arial" w:hAnsi="Arial" w:cs="Arial"/>
        </w:rPr>
        <w:t xml:space="preserve"> fear that they will be financially penalised. </w:t>
      </w:r>
    </w:p>
    <w:p w14:paraId="6719DAF0" w14:textId="77777777" w:rsidR="0060491F" w:rsidRPr="002F45C1" w:rsidRDefault="0030027B" w:rsidP="002F45C1">
      <w:pPr>
        <w:pStyle w:val="ListParagraph"/>
        <w:numPr>
          <w:ilvl w:val="0"/>
          <w:numId w:val="5"/>
        </w:numPr>
        <w:rPr>
          <w:rFonts w:ascii="Arial" w:hAnsi="Arial" w:cs="Arial"/>
        </w:rPr>
      </w:pPr>
      <w:r w:rsidRPr="002F45C1">
        <w:rPr>
          <w:rFonts w:ascii="Arial" w:hAnsi="Arial" w:cs="Arial"/>
        </w:rPr>
        <w:t xml:space="preserve">Students funded by </w:t>
      </w:r>
      <w:r w:rsidR="00F87493" w:rsidRPr="002F45C1">
        <w:rPr>
          <w:rFonts w:ascii="Arial" w:hAnsi="Arial" w:cs="Arial"/>
        </w:rPr>
        <w:t xml:space="preserve">the </w:t>
      </w:r>
      <w:r w:rsidR="002F45C1" w:rsidRPr="002F45C1">
        <w:rPr>
          <w:rFonts w:ascii="Arial" w:hAnsi="Arial" w:cs="Arial"/>
        </w:rPr>
        <w:t>EnvEast</w:t>
      </w:r>
      <w:r w:rsidR="00F87493" w:rsidRPr="002F45C1">
        <w:rPr>
          <w:rFonts w:ascii="Arial" w:hAnsi="Arial" w:cs="Arial"/>
        </w:rPr>
        <w:t xml:space="preserve"> or ARIES </w:t>
      </w:r>
      <w:r w:rsidRPr="002F45C1">
        <w:rPr>
          <w:rFonts w:ascii="Arial" w:hAnsi="Arial" w:cs="Arial"/>
        </w:rPr>
        <w:t>DTP</w:t>
      </w:r>
      <w:r w:rsidR="00F87493" w:rsidRPr="002F45C1">
        <w:rPr>
          <w:rFonts w:ascii="Arial" w:hAnsi="Arial" w:cs="Arial"/>
        </w:rPr>
        <w:t>s</w:t>
      </w:r>
      <w:r w:rsidRPr="002F45C1">
        <w:rPr>
          <w:rFonts w:ascii="Arial" w:hAnsi="Arial" w:cs="Arial"/>
        </w:rPr>
        <w:t xml:space="preserve"> should receive appropriate advice and support to complete their PhD projects within the restrictions imposed by </w:t>
      </w:r>
      <w:r w:rsidR="00F87493" w:rsidRPr="002F45C1">
        <w:rPr>
          <w:rFonts w:ascii="Arial" w:hAnsi="Arial" w:cs="Arial"/>
        </w:rPr>
        <w:t>COVID</w:t>
      </w:r>
      <w:r w:rsidRPr="002F45C1">
        <w:rPr>
          <w:rFonts w:ascii="Arial" w:hAnsi="Arial" w:cs="Arial"/>
        </w:rPr>
        <w:t>-19</w:t>
      </w:r>
      <w:r w:rsidR="0060491F" w:rsidRPr="002F45C1">
        <w:rPr>
          <w:rFonts w:ascii="Arial" w:hAnsi="Arial" w:cs="Arial"/>
        </w:rPr>
        <w:t>.</w:t>
      </w:r>
    </w:p>
    <w:p w14:paraId="65F11E4C" w14:textId="77777777" w:rsidR="00084923" w:rsidRDefault="00084923" w:rsidP="0030027B">
      <w:pPr>
        <w:rPr>
          <w:rFonts w:ascii="Arial" w:hAnsi="Arial" w:cs="Arial"/>
        </w:rPr>
      </w:pPr>
    </w:p>
    <w:p w14:paraId="6E244623" w14:textId="1CD810D1" w:rsidR="00402853" w:rsidRDefault="0060491F" w:rsidP="0030027B">
      <w:pPr>
        <w:rPr>
          <w:rFonts w:ascii="Arial" w:hAnsi="Arial" w:cs="Arial"/>
        </w:rPr>
      </w:pPr>
      <w:r w:rsidRPr="002F45C1">
        <w:rPr>
          <w:rFonts w:ascii="Arial" w:hAnsi="Arial" w:cs="Arial"/>
        </w:rPr>
        <w:t xml:space="preserve">Please see the </w:t>
      </w:r>
      <w:hyperlink r:id="rId10" w:history="1">
        <w:r w:rsidRPr="002F45C1">
          <w:rPr>
            <w:rStyle w:val="Hyperlink"/>
            <w:rFonts w:ascii="Arial" w:hAnsi="Arial" w:cs="Arial"/>
          </w:rPr>
          <w:t>EnvEast</w:t>
        </w:r>
      </w:hyperlink>
      <w:r w:rsidRPr="002F45C1">
        <w:rPr>
          <w:rFonts w:ascii="Arial" w:hAnsi="Arial" w:cs="Arial"/>
        </w:rPr>
        <w:t xml:space="preserve"> or</w:t>
      </w:r>
      <w:hyperlink r:id="rId11" w:history="1">
        <w:r w:rsidRPr="002F45C1">
          <w:rPr>
            <w:rStyle w:val="Hyperlink"/>
            <w:rFonts w:ascii="Arial" w:hAnsi="Arial" w:cs="Arial"/>
          </w:rPr>
          <w:t xml:space="preserve"> ARIES</w:t>
        </w:r>
      </w:hyperlink>
      <w:r w:rsidRPr="002F45C1">
        <w:rPr>
          <w:rFonts w:ascii="Arial" w:hAnsi="Arial" w:cs="Arial"/>
        </w:rPr>
        <w:t xml:space="preserve"> Handbooks for differences in support between DTP-funded and Associated PGRs. The DTP supports all PGRs with respect to cohort training, but we do not fund the research, stipends or travel of Associated PGRs (other than travel to cohort training). Associated PGRs should consult their Supervisors and funders for any provision being made to provide equivalent support.</w:t>
      </w:r>
    </w:p>
    <w:p w14:paraId="00A3A893" w14:textId="77777777" w:rsidR="00084923" w:rsidRDefault="00084923" w:rsidP="0030027B">
      <w:pPr>
        <w:rPr>
          <w:rFonts w:ascii="Arial" w:hAnsi="Arial" w:cs="Arial"/>
        </w:rPr>
      </w:pPr>
    </w:p>
    <w:p w14:paraId="2186CC9F" w14:textId="77777777" w:rsidR="00402853" w:rsidRDefault="00402853" w:rsidP="00402853">
      <w:pPr>
        <w:rPr>
          <w:rFonts w:ascii="Arial" w:hAnsi="Arial" w:cs="Arial"/>
          <w:b/>
        </w:rPr>
      </w:pPr>
      <w:r>
        <w:rPr>
          <w:rFonts w:ascii="Arial" w:hAnsi="Arial" w:cs="Arial"/>
          <w:b/>
        </w:rPr>
        <w:t xml:space="preserve">IMPORTANT: </w:t>
      </w:r>
      <w:r w:rsidRPr="00402853">
        <w:rPr>
          <w:rFonts w:ascii="Arial" w:hAnsi="Arial" w:cs="Arial"/>
          <w:b/>
        </w:rPr>
        <w:t xml:space="preserve"> </w:t>
      </w:r>
      <w:r w:rsidR="00084923">
        <w:rPr>
          <w:rFonts w:ascii="Arial" w:hAnsi="Arial" w:cs="Arial"/>
          <w:b/>
        </w:rPr>
        <w:t>It is imperative that you</w:t>
      </w:r>
      <w:r w:rsidRPr="00402853">
        <w:rPr>
          <w:rFonts w:ascii="Arial" w:hAnsi="Arial" w:cs="Arial"/>
          <w:b/>
        </w:rPr>
        <w:t xml:space="preserve"> keep records of all impacts of COVID-19 on your PhD research and training</w:t>
      </w:r>
      <w:r w:rsidR="00084923">
        <w:rPr>
          <w:rFonts w:ascii="Arial" w:hAnsi="Arial" w:cs="Arial"/>
          <w:b/>
        </w:rPr>
        <w:t xml:space="preserve"> – any impact on access to facilities, fieldwork, placement, etc) must be evidenced</w:t>
      </w:r>
      <w:r w:rsidR="007F065A">
        <w:rPr>
          <w:rFonts w:ascii="Arial" w:hAnsi="Arial" w:cs="Arial"/>
          <w:b/>
        </w:rPr>
        <w:t xml:space="preserve"> using the </w:t>
      </w:r>
      <w:hyperlink r:id="rId12" w:history="1">
        <w:r w:rsidR="007F065A" w:rsidRPr="007F065A">
          <w:rPr>
            <w:rStyle w:val="Hyperlink"/>
            <w:rFonts w:ascii="Arial" w:hAnsi="Arial" w:cs="Arial"/>
            <w:b/>
          </w:rPr>
          <w:t>DTP Risk Register</w:t>
        </w:r>
      </w:hyperlink>
      <w:r w:rsidR="00084923">
        <w:rPr>
          <w:rFonts w:ascii="Arial" w:hAnsi="Arial" w:cs="Arial"/>
          <w:b/>
        </w:rPr>
        <w:t>.</w:t>
      </w:r>
      <w:r w:rsidRPr="00402853">
        <w:rPr>
          <w:rFonts w:ascii="Arial" w:hAnsi="Arial" w:cs="Arial"/>
          <w:b/>
        </w:rPr>
        <w:t xml:space="preserve"> </w:t>
      </w:r>
    </w:p>
    <w:p w14:paraId="4B64B299" w14:textId="77777777" w:rsidR="007F065A" w:rsidRPr="00084923" w:rsidRDefault="007F065A" w:rsidP="00402853">
      <w:pPr>
        <w:rPr>
          <w:rFonts w:ascii="Arial" w:hAnsi="Arial" w:cs="Arial"/>
          <w:b/>
        </w:rPr>
      </w:pPr>
    </w:p>
    <w:p w14:paraId="71247DD2" w14:textId="77777777" w:rsidR="002F45C1" w:rsidRDefault="00402853">
      <w:pPr>
        <w:rPr>
          <w:rFonts w:ascii="Arial" w:hAnsi="Arial" w:cs="Arial"/>
          <w:b/>
          <w:color w:val="006666"/>
          <w:sz w:val="28"/>
          <w:szCs w:val="28"/>
        </w:rPr>
      </w:pPr>
      <w:r w:rsidRPr="00402853">
        <w:rPr>
          <w:rFonts w:ascii="Arial" w:hAnsi="Arial" w:cs="Arial"/>
        </w:rPr>
        <w:t xml:space="preserve">If you have any queries or concerns about your DTP training and/or studentship please contact </w:t>
      </w:r>
      <w:hyperlink r:id="rId13" w:history="1">
        <w:r w:rsidRPr="00402853">
          <w:rPr>
            <w:rStyle w:val="Hyperlink"/>
            <w:rFonts w:ascii="Arial" w:hAnsi="Arial" w:cs="Arial"/>
          </w:rPr>
          <w:t>aries.dtp@uea.ac.uk</w:t>
        </w:r>
      </w:hyperlink>
      <w:r w:rsidR="002F45C1">
        <w:rPr>
          <w:rFonts w:ascii="Arial" w:hAnsi="Arial" w:cs="Arial"/>
          <w:b/>
          <w:color w:val="006666"/>
          <w:sz w:val="28"/>
          <w:szCs w:val="28"/>
        </w:rPr>
        <w:br w:type="page"/>
      </w:r>
    </w:p>
    <w:tbl>
      <w:tblPr>
        <w:tblStyle w:val="TableGrid"/>
        <w:tblW w:w="14742" w:type="dxa"/>
        <w:jc w:val="center"/>
        <w:tblCellMar>
          <w:top w:w="57" w:type="dxa"/>
          <w:left w:w="57" w:type="dxa"/>
          <w:bottom w:w="28" w:type="dxa"/>
          <w:right w:w="28" w:type="dxa"/>
        </w:tblCellMar>
        <w:tblLook w:val="04A0" w:firstRow="1" w:lastRow="0" w:firstColumn="1" w:lastColumn="0" w:noHBand="0" w:noVBand="1"/>
      </w:tblPr>
      <w:tblGrid>
        <w:gridCol w:w="2620"/>
        <w:gridCol w:w="1486"/>
        <w:gridCol w:w="1954"/>
        <w:gridCol w:w="2015"/>
        <w:gridCol w:w="6667"/>
      </w:tblGrid>
      <w:tr w:rsidR="00402853" w:rsidRPr="003C7B94" w14:paraId="2982A0F5" w14:textId="77777777" w:rsidTr="00402853">
        <w:trPr>
          <w:trHeight w:val="380"/>
          <w:jc w:val="center"/>
        </w:trPr>
        <w:tc>
          <w:tcPr>
            <w:tcW w:w="14742" w:type="dxa"/>
            <w:gridSpan w:val="5"/>
            <w:tcBorders>
              <w:top w:val="nil"/>
              <w:left w:val="nil"/>
              <w:bottom w:val="single" w:sz="4" w:space="0" w:color="auto"/>
              <w:right w:val="nil"/>
            </w:tcBorders>
            <w:shd w:val="clear" w:color="auto" w:fill="auto"/>
            <w:vAlign w:val="center"/>
          </w:tcPr>
          <w:p w14:paraId="2F8FC192" w14:textId="77777777" w:rsidR="00C425FB" w:rsidRDefault="0030027B" w:rsidP="0030027B">
            <w:pPr>
              <w:rPr>
                <w:rFonts w:ascii="Arial" w:hAnsi="Arial" w:cs="Arial"/>
                <w:b/>
                <w:color w:val="006666"/>
                <w:sz w:val="28"/>
                <w:szCs w:val="28"/>
              </w:rPr>
            </w:pPr>
            <w:r w:rsidRPr="002F45C1">
              <w:rPr>
                <w:rFonts w:ascii="Arial" w:hAnsi="Arial" w:cs="Arial"/>
                <w:b/>
                <w:color w:val="006666"/>
                <w:sz w:val="28"/>
                <w:szCs w:val="28"/>
              </w:rPr>
              <w:lastRenderedPageBreak/>
              <w:t>R</w:t>
            </w:r>
            <w:r w:rsidR="003C7B94">
              <w:rPr>
                <w:rFonts w:ascii="Arial" w:hAnsi="Arial" w:cs="Arial"/>
                <w:b/>
                <w:color w:val="006666"/>
                <w:sz w:val="28"/>
                <w:szCs w:val="28"/>
              </w:rPr>
              <w:t>isks and M</w:t>
            </w:r>
            <w:r w:rsidRPr="002F45C1">
              <w:rPr>
                <w:rFonts w:ascii="Arial" w:hAnsi="Arial" w:cs="Arial"/>
                <w:b/>
                <w:color w:val="006666"/>
                <w:sz w:val="28"/>
                <w:szCs w:val="28"/>
              </w:rPr>
              <w:t xml:space="preserve">itigation </w:t>
            </w:r>
          </w:p>
          <w:p w14:paraId="19493BAA" w14:textId="1E3D4514" w:rsidR="00402853" w:rsidRPr="003C7B94" w:rsidRDefault="00402853" w:rsidP="0030027B">
            <w:pPr>
              <w:rPr>
                <w:rFonts w:ascii="Arial" w:hAnsi="Arial" w:cs="Arial"/>
                <w:b/>
                <w:color w:val="006666"/>
              </w:rPr>
            </w:pPr>
            <w:r w:rsidRPr="002F45C1">
              <w:rPr>
                <w:rFonts w:ascii="Arial" w:hAnsi="Arial" w:cs="Arial"/>
                <w:b/>
                <w:color w:val="009999"/>
                <w:sz w:val="24"/>
                <w:szCs w:val="24"/>
              </w:rPr>
              <w:t>a) Possible impacts on current research projects (DTP-funded PGRs only)</w:t>
            </w:r>
          </w:p>
        </w:tc>
      </w:tr>
      <w:tr w:rsidR="00402853" w:rsidRPr="003C7B94" w14:paraId="77E6FFED" w14:textId="77777777" w:rsidTr="00402853">
        <w:trPr>
          <w:trHeight w:val="380"/>
          <w:jc w:val="center"/>
        </w:trPr>
        <w:tc>
          <w:tcPr>
            <w:tcW w:w="2620" w:type="dxa"/>
            <w:tcBorders>
              <w:top w:val="single" w:sz="4" w:space="0" w:color="auto"/>
            </w:tcBorders>
            <w:shd w:val="clear" w:color="auto" w:fill="D8F9BF"/>
            <w:vAlign w:val="center"/>
          </w:tcPr>
          <w:p w14:paraId="13659353" w14:textId="77777777" w:rsidR="00402853" w:rsidRPr="003C7B94" w:rsidRDefault="00402853" w:rsidP="00402853">
            <w:pPr>
              <w:rPr>
                <w:rFonts w:ascii="Arial" w:hAnsi="Arial" w:cs="Arial"/>
                <w:b/>
                <w:color w:val="006666"/>
              </w:rPr>
            </w:pPr>
            <w:r w:rsidRPr="003C7B94">
              <w:rPr>
                <w:rFonts w:ascii="Arial" w:hAnsi="Arial" w:cs="Arial"/>
                <w:b/>
                <w:color w:val="006666"/>
              </w:rPr>
              <w:t xml:space="preserve"> Risk  </w:t>
            </w:r>
          </w:p>
        </w:tc>
        <w:tc>
          <w:tcPr>
            <w:tcW w:w="3440" w:type="dxa"/>
            <w:gridSpan w:val="2"/>
            <w:tcBorders>
              <w:top w:val="single" w:sz="4" w:space="0" w:color="auto"/>
            </w:tcBorders>
            <w:shd w:val="clear" w:color="auto" w:fill="D8F9BF"/>
            <w:vAlign w:val="center"/>
          </w:tcPr>
          <w:p w14:paraId="3AD19318" w14:textId="77777777" w:rsidR="00402853" w:rsidRPr="003C7B94" w:rsidRDefault="00402853" w:rsidP="00402853">
            <w:pPr>
              <w:rPr>
                <w:rFonts w:ascii="Arial" w:hAnsi="Arial" w:cs="Arial"/>
                <w:b/>
                <w:color w:val="006666"/>
              </w:rPr>
            </w:pPr>
            <w:r w:rsidRPr="003C7B94">
              <w:rPr>
                <w:rFonts w:ascii="Arial" w:hAnsi="Arial" w:cs="Arial"/>
                <w:b/>
                <w:color w:val="006666"/>
              </w:rPr>
              <w:t>Consequence of risk</w:t>
            </w:r>
          </w:p>
        </w:tc>
        <w:tc>
          <w:tcPr>
            <w:tcW w:w="8682" w:type="dxa"/>
            <w:gridSpan w:val="2"/>
            <w:tcBorders>
              <w:top w:val="single" w:sz="4" w:space="0" w:color="auto"/>
            </w:tcBorders>
            <w:shd w:val="clear" w:color="auto" w:fill="D8F9BF"/>
            <w:vAlign w:val="center"/>
          </w:tcPr>
          <w:p w14:paraId="1504E58D" w14:textId="77777777" w:rsidR="00402853" w:rsidRPr="003C7B94" w:rsidRDefault="00402853" w:rsidP="00402853">
            <w:pPr>
              <w:rPr>
                <w:rFonts w:ascii="Arial" w:hAnsi="Arial" w:cs="Arial"/>
                <w:b/>
                <w:color w:val="006666"/>
              </w:rPr>
            </w:pPr>
            <w:r w:rsidRPr="003C7B94">
              <w:rPr>
                <w:rFonts w:ascii="Arial" w:hAnsi="Arial" w:cs="Arial"/>
                <w:b/>
                <w:color w:val="006666"/>
              </w:rPr>
              <w:t>Mitigation</w:t>
            </w:r>
          </w:p>
        </w:tc>
      </w:tr>
      <w:tr w:rsidR="002F45C1" w:rsidRPr="003C7B94" w14:paraId="4247518D" w14:textId="77777777" w:rsidTr="00402853">
        <w:trPr>
          <w:jc w:val="center"/>
        </w:trPr>
        <w:tc>
          <w:tcPr>
            <w:tcW w:w="2620" w:type="dxa"/>
            <w:vAlign w:val="center"/>
          </w:tcPr>
          <w:p w14:paraId="73F51FA8" w14:textId="77777777" w:rsidR="0030027B" w:rsidRPr="003C7B94" w:rsidRDefault="0030027B" w:rsidP="00F87493">
            <w:pPr>
              <w:rPr>
                <w:rFonts w:cstheme="minorHAnsi"/>
              </w:rPr>
            </w:pPr>
            <w:r w:rsidRPr="003C7B94">
              <w:rPr>
                <w:rFonts w:cstheme="minorHAnsi"/>
              </w:rPr>
              <w:t xml:space="preserve">Student is unable to undertake planned </w:t>
            </w:r>
            <w:r w:rsidR="00F87493" w:rsidRPr="003C7B94">
              <w:rPr>
                <w:rFonts w:cstheme="minorHAnsi"/>
              </w:rPr>
              <w:t xml:space="preserve">national or </w:t>
            </w:r>
            <w:r w:rsidRPr="003C7B94">
              <w:rPr>
                <w:rFonts w:cstheme="minorHAnsi"/>
              </w:rPr>
              <w:t xml:space="preserve">international travel for research (e.g. fieldwork, </w:t>
            </w:r>
            <w:r w:rsidR="00F87493" w:rsidRPr="003C7B94">
              <w:rPr>
                <w:rFonts w:cstheme="minorHAnsi"/>
              </w:rPr>
              <w:t>conferences</w:t>
            </w:r>
            <w:r w:rsidR="00B746E9" w:rsidRPr="003C7B94">
              <w:rPr>
                <w:rFonts w:cstheme="minorHAnsi"/>
              </w:rPr>
              <w:t>, placements</w:t>
            </w:r>
            <w:r w:rsidR="0060491F" w:rsidRPr="003C7B94">
              <w:rPr>
                <w:rFonts w:cstheme="minorHAnsi"/>
              </w:rPr>
              <w:t xml:space="preserve"> including CASE</w:t>
            </w:r>
            <w:r w:rsidRPr="003C7B94">
              <w:rPr>
                <w:rFonts w:cstheme="minorHAnsi"/>
              </w:rPr>
              <w:t xml:space="preserve">) due to </w:t>
            </w:r>
            <w:r w:rsidR="00F87493" w:rsidRPr="003C7B94">
              <w:rPr>
                <w:rFonts w:cstheme="minorHAnsi"/>
              </w:rPr>
              <w:t xml:space="preserve">government </w:t>
            </w:r>
            <w:r w:rsidRPr="003C7B94">
              <w:rPr>
                <w:rFonts w:cstheme="minorHAnsi"/>
              </w:rPr>
              <w:t>restrictions</w:t>
            </w:r>
            <w:r w:rsidR="00F87493" w:rsidRPr="003C7B94">
              <w:rPr>
                <w:rFonts w:cstheme="minorHAnsi"/>
              </w:rPr>
              <w:t>, including FCO guidance</w:t>
            </w:r>
          </w:p>
        </w:tc>
        <w:tc>
          <w:tcPr>
            <w:tcW w:w="3440" w:type="dxa"/>
            <w:gridSpan w:val="2"/>
            <w:vAlign w:val="center"/>
          </w:tcPr>
          <w:p w14:paraId="1DCC53EA" w14:textId="77777777" w:rsidR="0030027B" w:rsidRPr="003C7B94" w:rsidRDefault="0030027B" w:rsidP="003C7B94">
            <w:pPr>
              <w:spacing w:before="3" w:after="3"/>
              <w:rPr>
                <w:rFonts w:cstheme="minorHAnsi"/>
              </w:rPr>
            </w:pPr>
            <w:r w:rsidRPr="003C7B94">
              <w:rPr>
                <w:rFonts w:cstheme="minorHAnsi"/>
              </w:rPr>
              <w:t xml:space="preserve">• Student may lose opportunity to access resources essential to their project – project may not be completed as proposed </w:t>
            </w:r>
          </w:p>
          <w:p w14:paraId="42BBF06E" w14:textId="77777777" w:rsidR="0030027B" w:rsidRPr="003C7B94" w:rsidRDefault="0030027B" w:rsidP="003C7B94">
            <w:pPr>
              <w:spacing w:before="3" w:after="3"/>
              <w:rPr>
                <w:rFonts w:cstheme="minorHAnsi"/>
              </w:rPr>
            </w:pPr>
            <w:r w:rsidRPr="003C7B94">
              <w:rPr>
                <w:rFonts w:cstheme="minorHAnsi"/>
              </w:rPr>
              <w:t>• Costs</w:t>
            </w:r>
            <w:r w:rsidR="00B746E9" w:rsidRPr="003C7B94">
              <w:rPr>
                <w:rFonts w:cstheme="minorHAnsi"/>
              </w:rPr>
              <w:t xml:space="preserve"> already</w:t>
            </w:r>
            <w:r w:rsidRPr="003C7B94">
              <w:rPr>
                <w:rFonts w:cstheme="minorHAnsi"/>
              </w:rPr>
              <w:t xml:space="preserve"> incurred in travel bookings would </w:t>
            </w:r>
            <w:r w:rsidR="0060491F" w:rsidRPr="003C7B94">
              <w:rPr>
                <w:rFonts w:cstheme="minorHAnsi"/>
              </w:rPr>
              <w:t xml:space="preserve">not </w:t>
            </w:r>
            <w:r w:rsidRPr="003C7B94">
              <w:rPr>
                <w:rFonts w:cstheme="minorHAnsi"/>
              </w:rPr>
              <w:t>be recoverable through institutional insurance policy</w:t>
            </w:r>
          </w:p>
        </w:tc>
        <w:tc>
          <w:tcPr>
            <w:tcW w:w="8682" w:type="dxa"/>
            <w:gridSpan w:val="2"/>
            <w:vAlign w:val="center"/>
          </w:tcPr>
          <w:p w14:paraId="3F037D2F" w14:textId="77777777" w:rsidR="0030027B" w:rsidRPr="003C7B94" w:rsidRDefault="0030027B" w:rsidP="003C7B94">
            <w:pPr>
              <w:spacing w:before="3" w:after="3"/>
              <w:rPr>
                <w:rFonts w:cstheme="minorHAnsi"/>
              </w:rPr>
            </w:pPr>
            <w:r w:rsidRPr="003C7B94">
              <w:rPr>
                <w:rFonts w:cstheme="minorHAnsi"/>
              </w:rPr>
              <w:t xml:space="preserve">• Reschedule travel where possible; extension to funded period can be applied for if necessary </w:t>
            </w:r>
            <w:r w:rsidR="00515179" w:rsidRPr="003C7B94">
              <w:rPr>
                <w:rFonts w:cstheme="minorHAnsi"/>
              </w:rPr>
              <w:t>(details of process forthcoming)</w:t>
            </w:r>
          </w:p>
          <w:p w14:paraId="03E64A05" w14:textId="77777777" w:rsidR="00B746E9" w:rsidRPr="003C7B94" w:rsidRDefault="0030027B" w:rsidP="003C7B94">
            <w:pPr>
              <w:spacing w:before="3" w:after="3"/>
              <w:rPr>
                <w:rFonts w:cstheme="minorHAnsi"/>
              </w:rPr>
            </w:pPr>
            <w:r w:rsidRPr="003C7B94">
              <w:rPr>
                <w:rFonts w:cstheme="minorHAnsi"/>
              </w:rPr>
              <w:t>• Where rescheduling is not possible (e.g. due to time</w:t>
            </w:r>
            <w:r w:rsidR="00F87493" w:rsidRPr="003C7B94">
              <w:rPr>
                <w:rFonts w:cstheme="minorHAnsi"/>
              </w:rPr>
              <w:t>-</w:t>
            </w:r>
            <w:r w:rsidRPr="003C7B94">
              <w:rPr>
                <w:rFonts w:cstheme="minorHAnsi"/>
              </w:rPr>
              <w:t>sensitive trips), redesign research project</w:t>
            </w:r>
          </w:p>
          <w:p w14:paraId="34B26268" w14:textId="77777777" w:rsidR="00B746E9" w:rsidRPr="003C7B94" w:rsidRDefault="00B746E9" w:rsidP="003C7B94">
            <w:pPr>
              <w:spacing w:before="3" w:after="3"/>
              <w:rPr>
                <w:rFonts w:cstheme="minorHAnsi"/>
              </w:rPr>
            </w:pPr>
            <w:r w:rsidRPr="003C7B94">
              <w:rPr>
                <w:rFonts w:cstheme="minorHAnsi"/>
              </w:rPr>
              <w:t>• No future international travel arrangements to be booked until 19 April 2020, when the position will be reviewed. If prices go up in the meantime, EnvEast / ARIES will cover the increased cost.</w:t>
            </w:r>
          </w:p>
          <w:p w14:paraId="17395D2D" w14:textId="77777777" w:rsidR="00C425FB" w:rsidRDefault="0030027B" w:rsidP="00C425FB">
            <w:pPr>
              <w:spacing w:before="3" w:after="3"/>
              <w:rPr>
                <w:rFonts w:cstheme="minorHAnsi"/>
              </w:rPr>
            </w:pPr>
            <w:r w:rsidRPr="003C7B94">
              <w:rPr>
                <w:rFonts w:cstheme="minorHAnsi"/>
              </w:rPr>
              <w:t xml:space="preserve">• Good communication with supervisor and institutional </w:t>
            </w:r>
            <w:r w:rsidR="00F87493" w:rsidRPr="003C7B94">
              <w:rPr>
                <w:rFonts w:cstheme="minorHAnsi"/>
              </w:rPr>
              <w:t>P</w:t>
            </w:r>
            <w:r w:rsidRPr="003C7B94">
              <w:rPr>
                <w:rFonts w:cstheme="minorHAnsi"/>
              </w:rPr>
              <w:t xml:space="preserve">ostgraduate </w:t>
            </w:r>
            <w:r w:rsidR="00F87493" w:rsidRPr="003C7B94">
              <w:rPr>
                <w:rFonts w:cstheme="minorHAnsi"/>
              </w:rPr>
              <w:t>R</w:t>
            </w:r>
            <w:r w:rsidRPr="003C7B94">
              <w:rPr>
                <w:rFonts w:cstheme="minorHAnsi"/>
              </w:rPr>
              <w:t xml:space="preserve">esearch </w:t>
            </w:r>
            <w:r w:rsidR="00F87493" w:rsidRPr="003C7B94">
              <w:rPr>
                <w:rFonts w:cstheme="minorHAnsi"/>
              </w:rPr>
              <w:t xml:space="preserve">Directors / </w:t>
            </w:r>
            <w:r w:rsidR="00084923">
              <w:rPr>
                <w:rFonts w:cstheme="minorHAnsi"/>
              </w:rPr>
              <w:t>committees.</w:t>
            </w:r>
          </w:p>
          <w:p w14:paraId="5AE946A0" w14:textId="0C00E8CF" w:rsidR="00515179" w:rsidRPr="00C425FB" w:rsidRDefault="00C425FB" w:rsidP="00C425FB">
            <w:pPr>
              <w:spacing w:before="3" w:after="3"/>
              <w:rPr>
                <w:rFonts w:cstheme="minorHAnsi"/>
              </w:rPr>
            </w:pPr>
            <w:r w:rsidRPr="003C7B94">
              <w:rPr>
                <w:rFonts w:cstheme="minorHAnsi"/>
              </w:rPr>
              <w:t xml:space="preserve">• </w:t>
            </w:r>
            <w:r w:rsidRPr="00C425FB">
              <w:rPr>
                <w:rFonts w:cstheme="minorHAnsi"/>
              </w:rPr>
              <w:t>C</w:t>
            </w:r>
            <w:r w:rsidR="00515179" w:rsidRPr="00C425FB">
              <w:rPr>
                <w:rFonts w:cstheme="minorHAnsi"/>
              </w:rPr>
              <w:t xml:space="preserve">ASE placement requirements waived where these cannot be rescheduled </w:t>
            </w:r>
            <w:proofErr w:type="gramStart"/>
            <w:r w:rsidR="00515179" w:rsidRPr="00C425FB">
              <w:rPr>
                <w:rFonts w:cstheme="minorHAnsi"/>
              </w:rPr>
              <w:t>in to</w:t>
            </w:r>
            <w:proofErr w:type="gramEnd"/>
            <w:r w:rsidR="00515179" w:rsidRPr="00C425FB">
              <w:rPr>
                <w:rFonts w:cstheme="minorHAnsi"/>
              </w:rPr>
              <w:t xml:space="preserve"> existing time frames, or replaced by alternative non-attending activities.</w:t>
            </w:r>
          </w:p>
        </w:tc>
      </w:tr>
      <w:tr w:rsidR="002F45C1" w:rsidRPr="003C7B94" w14:paraId="2DB50052" w14:textId="77777777" w:rsidTr="00402853">
        <w:trPr>
          <w:jc w:val="center"/>
        </w:trPr>
        <w:tc>
          <w:tcPr>
            <w:tcW w:w="2620" w:type="dxa"/>
            <w:vAlign w:val="center"/>
          </w:tcPr>
          <w:p w14:paraId="45105781" w14:textId="77777777" w:rsidR="0030027B" w:rsidRPr="003C7B94" w:rsidRDefault="0030027B" w:rsidP="00F87493">
            <w:pPr>
              <w:rPr>
                <w:rFonts w:cstheme="minorHAnsi"/>
              </w:rPr>
            </w:pPr>
            <w:r w:rsidRPr="003C7B94">
              <w:rPr>
                <w:rFonts w:cstheme="minorHAnsi"/>
              </w:rPr>
              <w:t xml:space="preserve">Student is unwilling to undertake planned </w:t>
            </w:r>
            <w:r w:rsidR="00F87493" w:rsidRPr="003C7B94">
              <w:rPr>
                <w:rFonts w:cstheme="minorHAnsi"/>
              </w:rPr>
              <w:t xml:space="preserve">national or </w:t>
            </w:r>
            <w:r w:rsidRPr="003C7B94">
              <w:rPr>
                <w:rFonts w:cstheme="minorHAnsi"/>
              </w:rPr>
              <w:t xml:space="preserve">international travel for research (e.g. fieldwork, </w:t>
            </w:r>
            <w:r w:rsidR="00F87493" w:rsidRPr="003C7B94">
              <w:rPr>
                <w:rFonts w:cstheme="minorHAnsi"/>
              </w:rPr>
              <w:t>conferences</w:t>
            </w:r>
            <w:r w:rsidR="00B746E9" w:rsidRPr="003C7B94">
              <w:rPr>
                <w:rFonts w:cstheme="minorHAnsi"/>
              </w:rPr>
              <w:t>, placements</w:t>
            </w:r>
            <w:r w:rsidRPr="003C7B94">
              <w:rPr>
                <w:rFonts w:cstheme="minorHAnsi"/>
              </w:rPr>
              <w:t xml:space="preserve">) due to concerns about </w:t>
            </w:r>
            <w:r w:rsidR="00F87493" w:rsidRPr="003C7B94">
              <w:rPr>
                <w:rFonts w:cstheme="minorHAnsi"/>
              </w:rPr>
              <w:t>COVID</w:t>
            </w:r>
            <w:r w:rsidRPr="003C7B94">
              <w:rPr>
                <w:rFonts w:cstheme="minorHAnsi"/>
              </w:rPr>
              <w:t>-19</w:t>
            </w:r>
          </w:p>
        </w:tc>
        <w:tc>
          <w:tcPr>
            <w:tcW w:w="3440" w:type="dxa"/>
            <w:gridSpan w:val="2"/>
            <w:vAlign w:val="center"/>
          </w:tcPr>
          <w:p w14:paraId="6DB0A799" w14:textId="6710BF73" w:rsidR="00B746E9" w:rsidRPr="003C7B94" w:rsidRDefault="0030027B" w:rsidP="0030027B">
            <w:pPr>
              <w:rPr>
                <w:rFonts w:cstheme="minorHAnsi"/>
              </w:rPr>
            </w:pPr>
            <w:r w:rsidRPr="003C7B94">
              <w:rPr>
                <w:rFonts w:cstheme="minorHAnsi"/>
              </w:rPr>
              <w:t xml:space="preserve">• Student may lose opportunity to access resources essential to their project – project may not be completed as proposed </w:t>
            </w:r>
          </w:p>
          <w:p w14:paraId="2D1A871A" w14:textId="77777777" w:rsidR="0030027B" w:rsidRPr="003C7B94" w:rsidRDefault="0030027B" w:rsidP="0030027B">
            <w:pPr>
              <w:rPr>
                <w:rFonts w:cstheme="minorHAnsi"/>
              </w:rPr>
            </w:pPr>
            <w:r w:rsidRPr="003C7B94">
              <w:rPr>
                <w:rFonts w:cstheme="minorHAnsi"/>
              </w:rPr>
              <w:t xml:space="preserve">• Costs </w:t>
            </w:r>
            <w:r w:rsidR="00B746E9" w:rsidRPr="003C7B94">
              <w:rPr>
                <w:rFonts w:cstheme="minorHAnsi"/>
              </w:rPr>
              <w:t xml:space="preserve">already </w:t>
            </w:r>
            <w:r w:rsidRPr="003C7B94">
              <w:rPr>
                <w:rFonts w:cstheme="minorHAnsi"/>
              </w:rPr>
              <w:t xml:space="preserve">incurred </w:t>
            </w:r>
            <w:r w:rsidR="00B746E9" w:rsidRPr="003C7B94">
              <w:rPr>
                <w:rFonts w:cstheme="minorHAnsi"/>
              </w:rPr>
              <w:t xml:space="preserve">in travel bookings </w:t>
            </w:r>
            <w:r w:rsidRPr="003C7B94">
              <w:rPr>
                <w:rFonts w:cstheme="minorHAnsi"/>
              </w:rPr>
              <w:t>may not be recoverable</w:t>
            </w:r>
          </w:p>
        </w:tc>
        <w:tc>
          <w:tcPr>
            <w:tcW w:w="8682" w:type="dxa"/>
            <w:gridSpan w:val="2"/>
            <w:vAlign w:val="center"/>
          </w:tcPr>
          <w:p w14:paraId="6DBDC749" w14:textId="77777777" w:rsidR="0030027B" w:rsidRPr="003C7B94" w:rsidRDefault="0030027B" w:rsidP="0030027B">
            <w:pPr>
              <w:rPr>
                <w:rFonts w:cstheme="minorHAnsi"/>
              </w:rPr>
            </w:pPr>
            <w:r w:rsidRPr="003C7B94">
              <w:rPr>
                <w:rFonts w:cstheme="minorHAnsi"/>
              </w:rPr>
              <w:t xml:space="preserve">• Reschedule travel where possible; extension to funded period can be applied for if necessary; assurances given to students that reimbursement will be made, and that replacement trips will be funded </w:t>
            </w:r>
          </w:p>
          <w:p w14:paraId="2493295E" w14:textId="77777777" w:rsidR="0030027B" w:rsidRPr="003C7B94" w:rsidRDefault="0030027B" w:rsidP="0030027B">
            <w:pPr>
              <w:rPr>
                <w:rFonts w:cstheme="minorHAnsi"/>
              </w:rPr>
            </w:pPr>
            <w:r w:rsidRPr="003C7B94">
              <w:rPr>
                <w:rFonts w:cstheme="minorHAnsi"/>
              </w:rPr>
              <w:t>• Where rescheduling is not possible (e.g. due to time</w:t>
            </w:r>
            <w:r w:rsidR="00F87493" w:rsidRPr="003C7B94">
              <w:rPr>
                <w:rFonts w:cstheme="minorHAnsi"/>
              </w:rPr>
              <w:t>-</w:t>
            </w:r>
            <w:r w:rsidRPr="003C7B94">
              <w:rPr>
                <w:rFonts w:cstheme="minorHAnsi"/>
              </w:rPr>
              <w:t xml:space="preserve">sensitive trips), redesign research project </w:t>
            </w:r>
          </w:p>
          <w:p w14:paraId="3CA6B9B7" w14:textId="5120258B" w:rsidR="00B746E9" w:rsidRPr="003C7B94" w:rsidRDefault="00B746E9" w:rsidP="00B746E9">
            <w:pPr>
              <w:rPr>
                <w:rFonts w:cstheme="minorHAnsi"/>
              </w:rPr>
            </w:pPr>
            <w:r w:rsidRPr="003C7B94">
              <w:rPr>
                <w:rFonts w:cstheme="minorHAnsi"/>
              </w:rPr>
              <w:t xml:space="preserve">• </w:t>
            </w:r>
            <w:r w:rsidR="00C425FB">
              <w:rPr>
                <w:rFonts w:cstheme="minorHAnsi"/>
              </w:rPr>
              <w:t>Where quarantine costs or increased prices apply additional funds may be accessed from</w:t>
            </w:r>
            <w:r w:rsidRPr="003C7B94">
              <w:rPr>
                <w:rFonts w:cstheme="minorHAnsi"/>
              </w:rPr>
              <w:t xml:space="preserve"> EnvEast / ARIES </w:t>
            </w:r>
            <w:r w:rsidR="00C425FB">
              <w:rPr>
                <w:rFonts w:cstheme="minorHAnsi"/>
              </w:rPr>
              <w:t>using the financial assistance form.</w:t>
            </w:r>
          </w:p>
          <w:p w14:paraId="632F6EA8" w14:textId="77777777" w:rsidR="0030027B" w:rsidRPr="003C7B94" w:rsidRDefault="0030027B" w:rsidP="00F87493">
            <w:pPr>
              <w:rPr>
                <w:rFonts w:cstheme="minorHAnsi"/>
              </w:rPr>
            </w:pPr>
            <w:r w:rsidRPr="003C7B94">
              <w:rPr>
                <w:rFonts w:cstheme="minorHAnsi"/>
              </w:rPr>
              <w:t xml:space="preserve">• Good communication with supervisor and institutional </w:t>
            </w:r>
            <w:r w:rsidR="00F87493" w:rsidRPr="003C7B94">
              <w:rPr>
                <w:rFonts w:cstheme="minorHAnsi"/>
              </w:rPr>
              <w:t>Postgraduate Research Directors / c</w:t>
            </w:r>
            <w:r w:rsidRPr="003C7B94">
              <w:rPr>
                <w:rFonts w:cstheme="minorHAnsi"/>
              </w:rPr>
              <w:t>ommittees</w:t>
            </w:r>
          </w:p>
        </w:tc>
      </w:tr>
      <w:tr w:rsidR="002F45C1" w:rsidRPr="003C7B94" w14:paraId="1722CF2A" w14:textId="77777777" w:rsidTr="00402853">
        <w:trPr>
          <w:jc w:val="center"/>
        </w:trPr>
        <w:tc>
          <w:tcPr>
            <w:tcW w:w="2620" w:type="dxa"/>
            <w:vAlign w:val="center"/>
          </w:tcPr>
          <w:p w14:paraId="13DA02BD" w14:textId="77777777" w:rsidR="0030027B" w:rsidRPr="003C7B94" w:rsidRDefault="0030027B" w:rsidP="0030027B">
            <w:pPr>
              <w:rPr>
                <w:rFonts w:cstheme="minorHAnsi"/>
              </w:rPr>
            </w:pPr>
            <w:r w:rsidRPr="003C7B94">
              <w:rPr>
                <w:rFonts w:cstheme="minorHAnsi"/>
              </w:rPr>
              <w:t xml:space="preserve">Student is unable to access resources </w:t>
            </w:r>
            <w:r w:rsidR="00E622A3" w:rsidRPr="003C7B94">
              <w:rPr>
                <w:rFonts w:cstheme="minorHAnsi"/>
              </w:rPr>
              <w:t>(</w:t>
            </w:r>
            <w:r w:rsidR="00A7127C" w:rsidRPr="003C7B94">
              <w:rPr>
                <w:rFonts w:cstheme="minorHAnsi"/>
              </w:rPr>
              <w:t xml:space="preserve">e.g. IT </w:t>
            </w:r>
            <w:r w:rsidR="003C7B94">
              <w:rPr>
                <w:rFonts w:cstheme="minorHAnsi"/>
              </w:rPr>
              <w:t>facilities, research lab</w:t>
            </w:r>
            <w:r w:rsidR="00A7127C" w:rsidRPr="003C7B94">
              <w:rPr>
                <w:rFonts w:cstheme="minorHAnsi"/>
              </w:rPr>
              <w:t>s</w:t>
            </w:r>
            <w:r w:rsidR="00E622A3" w:rsidRPr="003C7B94">
              <w:rPr>
                <w:rFonts w:cstheme="minorHAnsi"/>
              </w:rPr>
              <w:t>)</w:t>
            </w:r>
            <w:r w:rsidR="00A7127C" w:rsidRPr="003C7B94">
              <w:rPr>
                <w:rFonts w:cstheme="minorHAnsi"/>
              </w:rPr>
              <w:t xml:space="preserve"> </w:t>
            </w:r>
            <w:r w:rsidRPr="003C7B94">
              <w:rPr>
                <w:rFonts w:cstheme="minorHAnsi"/>
              </w:rPr>
              <w:t>due to institutional closure</w:t>
            </w:r>
          </w:p>
        </w:tc>
        <w:tc>
          <w:tcPr>
            <w:tcW w:w="3440" w:type="dxa"/>
            <w:gridSpan w:val="2"/>
            <w:vAlign w:val="center"/>
          </w:tcPr>
          <w:p w14:paraId="17C7CD49" w14:textId="71DA084A" w:rsidR="00C425FB" w:rsidRPr="003C7B94" w:rsidRDefault="0030027B" w:rsidP="00C425FB">
            <w:pPr>
              <w:rPr>
                <w:rFonts w:cstheme="minorHAnsi"/>
              </w:rPr>
            </w:pPr>
            <w:r w:rsidRPr="003C7B94">
              <w:rPr>
                <w:rFonts w:cstheme="minorHAnsi"/>
              </w:rPr>
              <w:t xml:space="preserve">•  Student may lose opportunity to access resources essential to their project – project may not be completed as proposed </w:t>
            </w:r>
          </w:p>
        </w:tc>
        <w:tc>
          <w:tcPr>
            <w:tcW w:w="8682" w:type="dxa"/>
            <w:gridSpan w:val="2"/>
            <w:vAlign w:val="center"/>
          </w:tcPr>
          <w:p w14:paraId="671B2CBA" w14:textId="77777777" w:rsidR="0030027B" w:rsidRPr="003C7B94" w:rsidRDefault="0030027B" w:rsidP="0030027B">
            <w:pPr>
              <w:rPr>
                <w:rFonts w:cstheme="minorHAnsi"/>
              </w:rPr>
            </w:pPr>
            <w:r w:rsidRPr="003C7B94">
              <w:rPr>
                <w:rFonts w:cstheme="minorHAnsi"/>
              </w:rPr>
              <w:t xml:space="preserve">•  Investigate use of online resources (remotely accessible) where possible </w:t>
            </w:r>
          </w:p>
          <w:p w14:paraId="188FD927" w14:textId="77777777" w:rsidR="0030027B" w:rsidRPr="003C7B94" w:rsidRDefault="0030027B" w:rsidP="0030027B">
            <w:pPr>
              <w:rPr>
                <w:rFonts w:cstheme="minorHAnsi"/>
              </w:rPr>
            </w:pPr>
            <w:r w:rsidRPr="003C7B94">
              <w:rPr>
                <w:rFonts w:cstheme="minorHAnsi"/>
              </w:rPr>
              <w:t xml:space="preserve">• Where online is not possible or appropriate, redesign research project </w:t>
            </w:r>
          </w:p>
          <w:p w14:paraId="618A7120" w14:textId="77777777" w:rsidR="0030027B" w:rsidRPr="003C7B94" w:rsidRDefault="0030027B" w:rsidP="00F87493">
            <w:pPr>
              <w:rPr>
                <w:rFonts w:cstheme="minorHAnsi"/>
              </w:rPr>
            </w:pPr>
            <w:r w:rsidRPr="003C7B94">
              <w:rPr>
                <w:rFonts w:cstheme="minorHAnsi"/>
              </w:rPr>
              <w:t xml:space="preserve">• Good communication with supervisor and institutional </w:t>
            </w:r>
            <w:r w:rsidR="00F87493" w:rsidRPr="003C7B94">
              <w:rPr>
                <w:rFonts w:cstheme="minorHAnsi"/>
              </w:rPr>
              <w:t xml:space="preserve">Postgraduate Research Directors / </w:t>
            </w:r>
            <w:r w:rsidRPr="003C7B94">
              <w:rPr>
                <w:rFonts w:cstheme="minorHAnsi"/>
              </w:rPr>
              <w:t>committees</w:t>
            </w:r>
          </w:p>
        </w:tc>
      </w:tr>
      <w:tr w:rsidR="002F45C1" w:rsidRPr="003C7B94" w14:paraId="1678192E" w14:textId="77777777" w:rsidTr="00402853">
        <w:trPr>
          <w:jc w:val="center"/>
        </w:trPr>
        <w:tc>
          <w:tcPr>
            <w:tcW w:w="2620" w:type="dxa"/>
            <w:tcBorders>
              <w:bottom w:val="single" w:sz="4" w:space="0" w:color="auto"/>
            </w:tcBorders>
            <w:vAlign w:val="center"/>
          </w:tcPr>
          <w:p w14:paraId="2D723F5F" w14:textId="00F49352" w:rsidR="0030027B" w:rsidRPr="003C7B94" w:rsidRDefault="0030027B" w:rsidP="00B746E9">
            <w:pPr>
              <w:rPr>
                <w:rFonts w:cstheme="minorHAnsi"/>
              </w:rPr>
            </w:pPr>
            <w:r w:rsidRPr="003C7B94">
              <w:rPr>
                <w:rFonts w:cstheme="minorHAnsi"/>
              </w:rPr>
              <w:t xml:space="preserve">Student is diagnosed with </w:t>
            </w:r>
            <w:r w:rsidR="00B746E9" w:rsidRPr="003C7B94">
              <w:rPr>
                <w:rFonts w:cstheme="minorHAnsi"/>
              </w:rPr>
              <w:t>COVID</w:t>
            </w:r>
            <w:r w:rsidR="00C425FB">
              <w:rPr>
                <w:rFonts w:cstheme="minorHAnsi"/>
              </w:rPr>
              <w:t>-</w:t>
            </w:r>
            <w:r w:rsidRPr="003C7B94">
              <w:rPr>
                <w:rFonts w:cstheme="minorHAnsi"/>
              </w:rPr>
              <w:t>19</w:t>
            </w:r>
          </w:p>
        </w:tc>
        <w:tc>
          <w:tcPr>
            <w:tcW w:w="3440" w:type="dxa"/>
            <w:gridSpan w:val="2"/>
            <w:tcBorders>
              <w:bottom w:val="single" w:sz="4" w:space="0" w:color="auto"/>
            </w:tcBorders>
            <w:vAlign w:val="center"/>
          </w:tcPr>
          <w:p w14:paraId="7F738027" w14:textId="77777777" w:rsidR="0030027B" w:rsidRDefault="0030027B" w:rsidP="0030027B">
            <w:pPr>
              <w:rPr>
                <w:rFonts w:cstheme="minorHAnsi"/>
              </w:rPr>
            </w:pPr>
            <w:r w:rsidRPr="003C7B94">
              <w:rPr>
                <w:rFonts w:cstheme="minorHAnsi"/>
              </w:rPr>
              <w:t>•  Student unable to proceed with project while sick</w:t>
            </w:r>
          </w:p>
          <w:p w14:paraId="12F5F36F" w14:textId="0CA3DE14" w:rsidR="00C425FB" w:rsidRPr="003C7B94" w:rsidRDefault="00C425FB" w:rsidP="0030027B">
            <w:pPr>
              <w:rPr>
                <w:rFonts w:cstheme="minorHAnsi"/>
              </w:rPr>
            </w:pPr>
            <w:r w:rsidRPr="003C7B94">
              <w:rPr>
                <w:rFonts w:cstheme="minorHAnsi"/>
              </w:rPr>
              <w:t xml:space="preserve">•  Student may lose opportunity to access resources essential to their project </w:t>
            </w:r>
            <w:r>
              <w:rPr>
                <w:rFonts w:cstheme="minorHAnsi"/>
              </w:rPr>
              <w:t xml:space="preserve">while self-isolating but well enough to work </w:t>
            </w:r>
            <w:r w:rsidRPr="003C7B94">
              <w:rPr>
                <w:rFonts w:cstheme="minorHAnsi"/>
              </w:rPr>
              <w:t>– project may not be completed as proposed</w:t>
            </w:r>
          </w:p>
        </w:tc>
        <w:tc>
          <w:tcPr>
            <w:tcW w:w="8682" w:type="dxa"/>
            <w:gridSpan w:val="2"/>
            <w:tcBorders>
              <w:bottom w:val="single" w:sz="4" w:space="0" w:color="auto"/>
            </w:tcBorders>
            <w:vAlign w:val="center"/>
          </w:tcPr>
          <w:p w14:paraId="373A0194" w14:textId="77777777" w:rsidR="0030027B" w:rsidRDefault="0030027B" w:rsidP="0030027B">
            <w:pPr>
              <w:rPr>
                <w:rFonts w:cstheme="minorHAnsi"/>
              </w:rPr>
            </w:pPr>
            <w:r w:rsidRPr="003C7B94">
              <w:rPr>
                <w:rFonts w:cstheme="minorHAnsi"/>
              </w:rPr>
              <w:t xml:space="preserve">• Ensure students are aware that extensions are available of up to </w:t>
            </w:r>
            <w:r w:rsidR="00C425FB">
              <w:rPr>
                <w:rFonts w:cstheme="minorHAnsi"/>
              </w:rPr>
              <w:t>28</w:t>
            </w:r>
            <w:r w:rsidRPr="003C7B94">
              <w:rPr>
                <w:rFonts w:cstheme="minorHAnsi"/>
              </w:rPr>
              <w:t xml:space="preserve"> weeks to funded period and submission deadline for illness</w:t>
            </w:r>
          </w:p>
          <w:p w14:paraId="475B4D87" w14:textId="77777777" w:rsidR="00C425FB" w:rsidRPr="003C7B94" w:rsidRDefault="00C425FB" w:rsidP="00C425FB">
            <w:pPr>
              <w:rPr>
                <w:rFonts w:cstheme="minorHAnsi"/>
              </w:rPr>
            </w:pPr>
            <w:r w:rsidRPr="003C7B94">
              <w:rPr>
                <w:rFonts w:cstheme="minorHAnsi"/>
              </w:rPr>
              <w:t xml:space="preserve">•  Investigate use of online resources (remotely accessible) where possible </w:t>
            </w:r>
          </w:p>
          <w:p w14:paraId="14BA07D1" w14:textId="77777777" w:rsidR="00C425FB" w:rsidRPr="003C7B94" w:rsidRDefault="00C425FB" w:rsidP="00C425FB">
            <w:pPr>
              <w:rPr>
                <w:rFonts w:cstheme="minorHAnsi"/>
              </w:rPr>
            </w:pPr>
            <w:r w:rsidRPr="003C7B94">
              <w:rPr>
                <w:rFonts w:cstheme="minorHAnsi"/>
              </w:rPr>
              <w:t xml:space="preserve">• Where online is not possible or appropriate, redesign research project </w:t>
            </w:r>
          </w:p>
          <w:p w14:paraId="0088AD97" w14:textId="3FCA9340" w:rsidR="00C425FB" w:rsidRPr="003C7B94" w:rsidRDefault="00C425FB" w:rsidP="00C425FB">
            <w:pPr>
              <w:rPr>
                <w:rFonts w:cstheme="minorHAnsi"/>
              </w:rPr>
            </w:pPr>
            <w:r w:rsidRPr="003C7B94">
              <w:rPr>
                <w:rFonts w:cstheme="minorHAnsi"/>
              </w:rPr>
              <w:t>• Good communication with supervisor and institutional Postgraduate Research Directors / committees</w:t>
            </w:r>
          </w:p>
        </w:tc>
      </w:tr>
      <w:tr w:rsidR="00402853" w:rsidRPr="003C7B94" w14:paraId="2753F416" w14:textId="77777777" w:rsidTr="00402853">
        <w:trPr>
          <w:trHeight w:val="13"/>
          <w:jc w:val="center"/>
        </w:trPr>
        <w:tc>
          <w:tcPr>
            <w:tcW w:w="14742" w:type="dxa"/>
            <w:gridSpan w:val="5"/>
            <w:tcBorders>
              <w:top w:val="single" w:sz="4" w:space="0" w:color="auto"/>
              <w:left w:val="nil"/>
              <w:bottom w:val="nil"/>
              <w:right w:val="nil"/>
            </w:tcBorders>
            <w:shd w:val="clear" w:color="auto" w:fill="auto"/>
            <w:vAlign w:val="center"/>
          </w:tcPr>
          <w:p w14:paraId="777D91EC" w14:textId="77777777" w:rsidR="00402853" w:rsidRPr="00402853" w:rsidRDefault="00402853" w:rsidP="00903E49">
            <w:pPr>
              <w:rPr>
                <w:b/>
                <w:color w:val="009999"/>
                <w:sz w:val="10"/>
                <w:szCs w:val="10"/>
              </w:rPr>
            </w:pPr>
          </w:p>
        </w:tc>
      </w:tr>
      <w:tr w:rsidR="00402853" w:rsidRPr="003C7B94" w14:paraId="3A15EA67" w14:textId="77777777" w:rsidTr="00402853">
        <w:trPr>
          <w:trHeight w:val="500"/>
          <w:jc w:val="center"/>
        </w:trPr>
        <w:tc>
          <w:tcPr>
            <w:tcW w:w="14742" w:type="dxa"/>
            <w:gridSpan w:val="5"/>
            <w:tcBorders>
              <w:top w:val="nil"/>
              <w:left w:val="nil"/>
              <w:bottom w:val="single" w:sz="4" w:space="0" w:color="auto"/>
              <w:right w:val="nil"/>
            </w:tcBorders>
            <w:shd w:val="clear" w:color="auto" w:fill="auto"/>
            <w:vAlign w:val="bottom"/>
          </w:tcPr>
          <w:p w14:paraId="5AC7B274" w14:textId="77777777" w:rsidR="00402853" w:rsidRPr="003C7B94" w:rsidRDefault="00402853" w:rsidP="00903E49">
            <w:pPr>
              <w:rPr>
                <w:rFonts w:ascii="Arial" w:hAnsi="Arial" w:cs="Arial"/>
                <w:b/>
                <w:color w:val="006666"/>
              </w:rPr>
            </w:pPr>
            <w:r w:rsidRPr="003C7B94">
              <w:rPr>
                <w:b/>
                <w:color w:val="009999"/>
                <w:sz w:val="28"/>
                <w:szCs w:val="28"/>
              </w:rPr>
              <w:lastRenderedPageBreak/>
              <w:t>b) Possible impacts on EnvEast / ARIES events (DTP-funded and Associated PGRs)</w:t>
            </w:r>
          </w:p>
        </w:tc>
      </w:tr>
      <w:tr w:rsidR="00402853" w:rsidRPr="003C7B94" w14:paraId="27AEB064" w14:textId="77777777" w:rsidTr="00402853">
        <w:trPr>
          <w:trHeight w:val="438"/>
          <w:jc w:val="center"/>
        </w:trPr>
        <w:tc>
          <w:tcPr>
            <w:tcW w:w="4106" w:type="dxa"/>
            <w:gridSpan w:val="2"/>
            <w:tcBorders>
              <w:top w:val="single" w:sz="4" w:space="0" w:color="auto"/>
            </w:tcBorders>
            <w:shd w:val="clear" w:color="auto" w:fill="D8F9BF"/>
            <w:vAlign w:val="center"/>
          </w:tcPr>
          <w:p w14:paraId="75CE3839" w14:textId="77777777" w:rsidR="00402853" w:rsidRPr="003C7B94" w:rsidRDefault="00402853" w:rsidP="00402853">
            <w:pPr>
              <w:rPr>
                <w:rFonts w:ascii="Arial" w:hAnsi="Arial" w:cs="Arial"/>
                <w:b/>
                <w:color w:val="006666"/>
              </w:rPr>
            </w:pPr>
            <w:r w:rsidRPr="003C7B94">
              <w:rPr>
                <w:rFonts w:ascii="Arial" w:hAnsi="Arial" w:cs="Arial"/>
                <w:b/>
                <w:color w:val="006666"/>
              </w:rPr>
              <w:t xml:space="preserve">Risk  </w:t>
            </w:r>
          </w:p>
        </w:tc>
        <w:tc>
          <w:tcPr>
            <w:tcW w:w="3969" w:type="dxa"/>
            <w:gridSpan w:val="2"/>
            <w:tcBorders>
              <w:top w:val="single" w:sz="4" w:space="0" w:color="auto"/>
            </w:tcBorders>
            <w:shd w:val="clear" w:color="auto" w:fill="D8F9BF"/>
            <w:vAlign w:val="center"/>
          </w:tcPr>
          <w:p w14:paraId="034FD580" w14:textId="77777777" w:rsidR="00402853" w:rsidRPr="003C7B94" w:rsidRDefault="00402853" w:rsidP="00402853">
            <w:pPr>
              <w:rPr>
                <w:rFonts w:ascii="Arial" w:hAnsi="Arial" w:cs="Arial"/>
                <w:b/>
                <w:color w:val="006666"/>
              </w:rPr>
            </w:pPr>
            <w:r w:rsidRPr="003C7B94">
              <w:rPr>
                <w:rFonts w:ascii="Arial" w:hAnsi="Arial" w:cs="Arial"/>
                <w:b/>
                <w:color w:val="006666"/>
              </w:rPr>
              <w:t>Consequence of risk</w:t>
            </w:r>
          </w:p>
        </w:tc>
        <w:tc>
          <w:tcPr>
            <w:tcW w:w="6667" w:type="dxa"/>
            <w:tcBorders>
              <w:top w:val="single" w:sz="4" w:space="0" w:color="auto"/>
            </w:tcBorders>
            <w:shd w:val="clear" w:color="auto" w:fill="D8F9BF"/>
            <w:vAlign w:val="center"/>
          </w:tcPr>
          <w:p w14:paraId="28BE4D78" w14:textId="77777777" w:rsidR="00402853" w:rsidRPr="003C7B94" w:rsidRDefault="00402853" w:rsidP="00402853">
            <w:pPr>
              <w:rPr>
                <w:rFonts w:ascii="Arial" w:hAnsi="Arial" w:cs="Arial"/>
                <w:b/>
                <w:color w:val="006666"/>
              </w:rPr>
            </w:pPr>
            <w:r w:rsidRPr="003C7B94">
              <w:rPr>
                <w:rFonts w:ascii="Arial" w:hAnsi="Arial" w:cs="Arial"/>
                <w:b/>
                <w:color w:val="006666"/>
              </w:rPr>
              <w:t>Mitigation</w:t>
            </w:r>
          </w:p>
        </w:tc>
      </w:tr>
      <w:tr w:rsidR="00B979B3" w:rsidRPr="003C7B94" w14:paraId="1870C623" w14:textId="77777777" w:rsidTr="00402853">
        <w:trPr>
          <w:jc w:val="center"/>
        </w:trPr>
        <w:tc>
          <w:tcPr>
            <w:tcW w:w="4106" w:type="dxa"/>
            <w:gridSpan w:val="2"/>
            <w:tcBorders>
              <w:bottom w:val="single" w:sz="4" w:space="0" w:color="auto"/>
            </w:tcBorders>
            <w:vAlign w:val="center"/>
          </w:tcPr>
          <w:p w14:paraId="73B1B4DB" w14:textId="0E8A3392" w:rsidR="00B979B3" w:rsidRDefault="00C425FB" w:rsidP="00B979B3">
            <w:r>
              <w:t>Mandatory cohort events may be</w:t>
            </w:r>
            <w:r w:rsidR="00B979B3">
              <w:t xml:space="preserve"> </w:t>
            </w:r>
            <w:r w:rsidR="00B979B3" w:rsidRPr="00B74EAA">
              <w:t>cancelled due to government advice or illness</w:t>
            </w:r>
            <w:r w:rsidR="00B979B3">
              <w:t xml:space="preserve"> of training lead</w:t>
            </w:r>
          </w:p>
        </w:tc>
        <w:tc>
          <w:tcPr>
            <w:tcW w:w="3969" w:type="dxa"/>
            <w:gridSpan w:val="2"/>
            <w:tcBorders>
              <w:bottom w:val="single" w:sz="4" w:space="0" w:color="auto"/>
            </w:tcBorders>
            <w:vAlign w:val="center"/>
          </w:tcPr>
          <w:p w14:paraId="03742F2C" w14:textId="2A418C2D" w:rsidR="00B979B3" w:rsidRDefault="00B979B3" w:rsidP="00B979B3">
            <w:r w:rsidRPr="00B74EAA">
              <w:t xml:space="preserve">• Loss of support for students </w:t>
            </w:r>
          </w:p>
          <w:p w14:paraId="1B4256F8" w14:textId="2FAB5445" w:rsidR="00B979B3" w:rsidRDefault="00B979B3" w:rsidP="00B979B3">
            <w:r w:rsidRPr="00B74EAA">
              <w:t>•</w:t>
            </w:r>
            <w:r w:rsidR="00C425FB">
              <w:t xml:space="preserve"> </w:t>
            </w:r>
            <w:r w:rsidRPr="00B74EAA">
              <w:t>Additional cost incurred</w:t>
            </w:r>
          </w:p>
        </w:tc>
        <w:tc>
          <w:tcPr>
            <w:tcW w:w="6667" w:type="dxa"/>
            <w:tcBorders>
              <w:bottom w:val="single" w:sz="4" w:space="0" w:color="auto"/>
            </w:tcBorders>
            <w:vAlign w:val="center"/>
          </w:tcPr>
          <w:p w14:paraId="5B0F3378" w14:textId="364AF5A0" w:rsidR="00B979B3" w:rsidRDefault="00B979B3" w:rsidP="00B979B3">
            <w:r w:rsidRPr="00B74EAA">
              <w:t>•</w:t>
            </w:r>
            <w:r w:rsidR="00C425FB">
              <w:t xml:space="preserve"> </w:t>
            </w:r>
            <w:r w:rsidR="00C65194">
              <w:t>Virtual</w:t>
            </w:r>
            <w:r w:rsidR="007F065A">
              <w:t xml:space="preserve"> conferencing methods</w:t>
            </w:r>
            <w:r w:rsidR="00C425FB">
              <w:t xml:space="preserve"> used to provide essential training</w:t>
            </w:r>
          </w:p>
          <w:p w14:paraId="71367874" w14:textId="5A4EE73A" w:rsidR="00B979B3" w:rsidRDefault="00B979B3" w:rsidP="00B979B3">
            <w:r w:rsidRPr="00B74EAA">
              <w:t xml:space="preserve">• </w:t>
            </w:r>
            <w:r>
              <w:t xml:space="preserve">No further </w:t>
            </w:r>
            <w:r w:rsidR="007F065A">
              <w:t xml:space="preserve">venue </w:t>
            </w:r>
            <w:r>
              <w:t>bookings to be made</w:t>
            </w:r>
            <w:r w:rsidR="00C425FB">
              <w:t xml:space="preserve"> until government advice allows face-to-face teaching and socialising</w:t>
            </w:r>
          </w:p>
          <w:p w14:paraId="51B7EFA1" w14:textId="17E57F3C" w:rsidR="00B979B3" w:rsidRDefault="00B979B3" w:rsidP="00B979B3">
            <w:r w:rsidRPr="00B74EAA">
              <w:t xml:space="preserve">• </w:t>
            </w:r>
            <w:r>
              <w:t xml:space="preserve">Non-recoverable costs </w:t>
            </w:r>
            <w:r w:rsidR="00C425FB">
              <w:t>absorbed</w:t>
            </w:r>
          </w:p>
        </w:tc>
      </w:tr>
      <w:tr w:rsidR="00B979B3" w:rsidRPr="003C7B94" w14:paraId="2A4BC90E" w14:textId="77777777" w:rsidTr="00402853">
        <w:trPr>
          <w:jc w:val="center"/>
        </w:trPr>
        <w:tc>
          <w:tcPr>
            <w:tcW w:w="4106" w:type="dxa"/>
            <w:gridSpan w:val="2"/>
            <w:tcBorders>
              <w:bottom w:val="single" w:sz="4" w:space="0" w:color="auto"/>
            </w:tcBorders>
            <w:vAlign w:val="center"/>
          </w:tcPr>
          <w:p w14:paraId="396DED9A" w14:textId="77777777" w:rsidR="00B979B3" w:rsidRDefault="00B979B3" w:rsidP="00B979B3">
            <w:r>
              <w:t xml:space="preserve">Training event is cancelled due to government advice or </w:t>
            </w:r>
            <w:r w:rsidRPr="00B74EAA">
              <w:t>illness</w:t>
            </w:r>
            <w:r>
              <w:t xml:space="preserve"> of training lead</w:t>
            </w:r>
          </w:p>
        </w:tc>
        <w:tc>
          <w:tcPr>
            <w:tcW w:w="3969" w:type="dxa"/>
            <w:gridSpan w:val="2"/>
            <w:tcBorders>
              <w:bottom w:val="single" w:sz="4" w:space="0" w:color="auto"/>
            </w:tcBorders>
            <w:vAlign w:val="center"/>
          </w:tcPr>
          <w:p w14:paraId="49411253" w14:textId="77777777" w:rsidR="00B979B3" w:rsidRDefault="00B979B3" w:rsidP="00B979B3">
            <w:r>
              <w:t xml:space="preserve">• Loss of support for students </w:t>
            </w:r>
          </w:p>
          <w:p w14:paraId="6068CAC6" w14:textId="77777777" w:rsidR="00B979B3" w:rsidRDefault="00B979B3" w:rsidP="00B979B3">
            <w:r>
              <w:t xml:space="preserve">• Additional cost incurred </w:t>
            </w:r>
          </w:p>
          <w:p w14:paraId="2F37F8DB" w14:textId="77777777" w:rsidR="00B979B3" w:rsidRDefault="00B979B3" w:rsidP="00B979B3">
            <w:r>
              <w:t>• Impact on DTP and institutional research training compliance.</w:t>
            </w:r>
          </w:p>
        </w:tc>
        <w:tc>
          <w:tcPr>
            <w:tcW w:w="6667" w:type="dxa"/>
            <w:tcBorders>
              <w:bottom w:val="single" w:sz="4" w:space="0" w:color="auto"/>
            </w:tcBorders>
            <w:vAlign w:val="center"/>
          </w:tcPr>
          <w:p w14:paraId="1152A4C1" w14:textId="77777777" w:rsidR="00B979B3" w:rsidRDefault="00B979B3" w:rsidP="00B979B3">
            <w:r>
              <w:t xml:space="preserve">• Timely communication to attendees  </w:t>
            </w:r>
          </w:p>
          <w:p w14:paraId="2A87469F" w14:textId="77777777" w:rsidR="00B979B3" w:rsidRDefault="00B979B3" w:rsidP="00B979B3">
            <w:r>
              <w:t xml:space="preserve">• Seek to reschedule event where possible </w:t>
            </w:r>
          </w:p>
          <w:p w14:paraId="22AD18AE" w14:textId="77777777" w:rsidR="00B979B3" w:rsidRDefault="00B979B3" w:rsidP="00B979B3">
            <w:r>
              <w:t xml:space="preserve">• Consider virtual event where appropriate </w:t>
            </w:r>
          </w:p>
          <w:p w14:paraId="659899A9" w14:textId="77777777" w:rsidR="00B979B3" w:rsidRDefault="00B979B3" w:rsidP="00B979B3">
            <w:r>
              <w:t xml:space="preserve">• Monitor training budget  </w:t>
            </w:r>
          </w:p>
        </w:tc>
      </w:tr>
      <w:tr w:rsidR="00402853" w:rsidRPr="003C7B94" w14:paraId="4381FE09" w14:textId="77777777" w:rsidTr="00402853">
        <w:trPr>
          <w:trHeight w:val="641"/>
          <w:jc w:val="center"/>
        </w:trPr>
        <w:tc>
          <w:tcPr>
            <w:tcW w:w="14742" w:type="dxa"/>
            <w:gridSpan w:val="5"/>
            <w:tcBorders>
              <w:top w:val="single" w:sz="4" w:space="0" w:color="auto"/>
              <w:left w:val="nil"/>
              <w:bottom w:val="single" w:sz="4" w:space="0" w:color="auto"/>
              <w:right w:val="nil"/>
            </w:tcBorders>
            <w:vAlign w:val="bottom"/>
          </w:tcPr>
          <w:p w14:paraId="386CDDB3" w14:textId="77777777" w:rsidR="00402853" w:rsidRDefault="00402853" w:rsidP="00B979B3">
            <w:r w:rsidRPr="00B979B3">
              <w:rPr>
                <w:b/>
                <w:color w:val="009999"/>
                <w:sz w:val="28"/>
                <w:szCs w:val="28"/>
              </w:rPr>
              <w:t xml:space="preserve">c) Possible impact on recruitment </w:t>
            </w:r>
            <w:r w:rsidRPr="00B979B3">
              <w:rPr>
                <w:color w:val="009999"/>
                <w:sz w:val="28"/>
                <w:szCs w:val="28"/>
              </w:rPr>
              <w:t xml:space="preserve"> </w:t>
            </w:r>
          </w:p>
        </w:tc>
      </w:tr>
      <w:tr w:rsidR="00B979B3" w:rsidRPr="003C7B94" w14:paraId="549BCDE7" w14:textId="77777777" w:rsidTr="00402853">
        <w:trPr>
          <w:trHeight w:val="438"/>
          <w:jc w:val="center"/>
        </w:trPr>
        <w:tc>
          <w:tcPr>
            <w:tcW w:w="4106" w:type="dxa"/>
            <w:gridSpan w:val="2"/>
            <w:tcBorders>
              <w:top w:val="single" w:sz="4" w:space="0" w:color="auto"/>
              <w:bottom w:val="single" w:sz="4" w:space="0" w:color="auto"/>
            </w:tcBorders>
            <w:shd w:val="clear" w:color="auto" w:fill="D8F9BF"/>
            <w:vAlign w:val="center"/>
          </w:tcPr>
          <w:p w14:paraId="6CFB6939" w14:textId="77777777" w:rsidR="00B979B3" w:rsidRPr="003C7B94" w:rsidRDefault="00B979B3" w:rsidP="00903E49">
            <w:pPr>
              <w:rPr>
                <w:rFonts w:ascii="Arial" w:hAnsi="Arial" w:cs="Arial"/>
                <w:b/>
                <w:color w:val="006666"/>
              </w:rPr>
            </w:pPr>
            <w:r w:rsidRPr="003C7B94">
              <w:rPr>
                <w:rFonts w:ascii="Arial" w:hAnsi="Arial" w:cs="Arial"/>
                <w:b/>
                <w:color w:val="006666"/>
              </w:rPr>
              <w:t xml:space="preserve">Risk  </w:t>
            </w:r>
          </w:p>
        </w:tc>
        <w:tc>
          <w:tcPr>
            <w:tcW w:w="3969" w:type="dxa"/>
            <w:gridSpan w:val="2"/>
            <w:tcBorders>
              <w:top w:val="single" w:sz="4" w:space="0" w:color="auto"/>
              <w:bottom w:val="single" w:sz="4" w:space="0" w:color="auto"/>
            </w:tcBorders>
            <w:shd w:val="clear" w:color="auto" w:fill="D8F9BF"/>
            <w:vAlign w:val="center"/>
          </w:tcPr>
          <w:p w14:paraId="04009444" w14:textId="77777777" w:rsidR="00B979B3" w:rsidRPr="003C7B94" w:rsidRDefault="00B979B3" w:rsidP="00903E49">
            <w:pPr>
              <w:rPr>
                <w:rFonts w:ascii="Arial" w:hAnsi="Arial" w:cs="Arial"/>
                <w:b/>
                <w:color w:val="006666"/>
              </w:rPr>
            </w:pPr>
            <w:r w:rsidRPr="003C7B94">
              <w:rPr>
                <w:rFonts w:ascii="Arial" w:hAnsi="Arial" w:cs="Arial"/>
                <w:b/>
                <w:color w:val="006666"/>
              </w:rPr>
              <w:t>Consequence of risk</w:t>
            </w:r>
          </w:p>
        </w:tc>
        <w:tc>
          <w:tcPr>
            <w:tcW w:w="6667" w:type="dxa"/>
            <w:tcBorders>
              <w:top w:val="single" w:sz="4" w:space="0" w:color="auto"/>
              <w:bottom w:val="single" w:sz="4" w:space="0" w:color="auto"/>
            </w:tcBorders>
            <w:shd w:val="clear" w:color="auto" w:fill="D8F9BF"/>
            <w:vAlign w:val="center"/>
          </w:tcPr>
          <w:p w14:paraId="25449F30" w14:textId="77777777" w:rsidR="00B979B3" w:rsidRPr="003C7B94" w:rsidRDefault="00B979B3" w:rsidP="00903E49">
            <w:pPr>
              <w:rPr>
                <w:rFonts w:ascii="Arial" w:hAnsi="Arial" w:cs="Arial"/>
                <w:b/>
                <w:color w:val="006666"/>
              </w:rPr>
            </w:pPr>
            <w:r w:rsidRPr="003C7B94">
              <w:rPr>
                <w:rFonts w:ascii="Arial" w:hAnsi="Arial" w:cs="Arial"/>
                <w:b/>
                <w:color w:val="006666"/>
              </w:rPr>
              <w:t>Mitigation</w:t>
            </w:r>
          </w:p>
        </w:tc>
      </w:tr>
      <w:tr w:rsidR="00B979B3" w:rsidRPr="003C7B94" w14:paraId="4C68662B" w14:textId="77777777" w:rsidTr="00C65194">
        <w:trPr>
          <w:jc w:val="center"/>
        </w:trPr>
        <w:tc>
          <w:tcPr>
            <w:tcW w:w="4106" w:type="dxa"/>
            <w:gridSpan w:val="2"/>
            <w:tcBorders>
              <w:bottom w:val="single" w:sz="4" w:space="0" w:color="auto"/>
            </w:tcBorders>
            <w:vAlign w:val="center"/>
          </w:tcPr>
          <w:p w14:paraId="7836EC1C" w14:textId="47F12B57" w:rsidR="00B979B3" w:rsidRDefault="00B979B3" w:rsidP="00B979B3">
            <w:r w:rsidRPr="00A7127C">
              <w:t>Candidates are unable to commence study in October due to health issues or campus closures</w:t>
            </w:r>
            <w:r w:rsidR="00C425FB">
              <w:t>, or inability to enter the country.</w:t>
            </w:r>
          </w:p>
        </w:tc>
        <w:tc>
          <w:tcPr>
            <w:tcW w:w="3969" w:type="dxa"/>
            <w:gridSpan w:val="2"/>
            <w:tcBorders>
              <w:bottom w:val="single" w:sz="4" w:space="0" w:color="auto"/>
            </w:tcBorders>
            <w:vAlign w:val="center"/>
          </w:tcPr>
          <w:p w14:paraId="7E6729F8" w14:textId="3D10EBB1" w:rsidR="00B979B3" w:rsidRDefault="00B979B3" w:rsidP="00C65194">
            <w:r>
              <w:t xml:space="preserve">• </w:t>
            </w:r>
            <w:r w:rsidR="00C425FB">
              <w:t>Students may defer</w:t>
            </w:r>
            <w:r>
              <w:t xml:space="preserve"> start in January</w:t>
            </w:r>
            <w:r w:rsidR="007F065A">
              <w:t>/February</w:t>
            </w:r>
            <w:r>
              <w:t>, thereby miss induction</w:t>
            </w:r>
          </w:p>
        </w:tc>
        <w:tc>
          <w:tcPr>
            <w:tcW w:w="6667" w:type="dxa"/>
            <w:tcBorders>
              <w:bottom w:val="single" w:sz="4" w:space="0" w:color="auto"/>
            </w:tcBorders>
            <w:vAlign w:val="center"/>
          </w:tcPr>
          <w:p w14:paraId="56C212E4" w14:textId="6C54DB3A" w:rsidR="00B979B3" w:rsidRDefault="007F065A" w:rsidP="00B979B3">
            <w:r>
              <w:t>• All students invited to attend virtual induction events</w:t>
            </w:r>
            <w:r w:rsidR="00C425FB">
              <w:t xml:space="preserve"> where available</w:t>
            </w:r>
          </w:p>
          <w:p w14:paraId="6E5BA225" w14:textId="4D2EA79D" w:rsidR="007F065A" w:rsidRDefault="00C425FB" w:rsidP="00C65194">
            <w:r>
              <w:t xml:space="preserve">• </w:t>
            </w:r>
            <w:r w:rsidR="00C65194">
              <w:t>Face-to-face events planned for Spring when cohort is complete</w:t>
            </w:r>
          </w:p>
        </w:tc>
      </w:tr>
      <w:tr w:rsidR="00402853" w:rsidRPr="003C7B94" w14:paraId="79E4D166" w14:textId="77777777" w:rsidTr="00402853">
        <w:trPr>
          <w:trHeight w:val="599"/>
          <w:jc w:val="center"/>
        </w:trPr>
        <w:tc>
          <w:tcPr>
            <w:tcW w:w="14742" w:type="dxa"/>
            <w:gridSpan w:val="5"/>
            <w:tcBorders>
              <w:top w:val="single" w:sz="4" w:space="0" w:color="auto"/>
              <w:left w:val="nil"/>
              <w:bottom w:val="single" w:sz="4" w:space="0" w:color="auto"/>
              <w:right w:val="nil"/>
            </w:tcBorders>
            <w:vAlign w:val="bottom"/>
          </w:tcPr>
          <w:p w14:paraId="5C245BDB" w14:textId="77777777" w:rsidR="00402853" w:rsidRPr="00A7127C" w:rsidRDefault="00402853" w:rsidP="00B979B3">
            <w:r w:rsidRPr="00B979B3">
              <w:rPr>
                <w:b/>
                <w:color w:val="009999"/>
                <w:sz w:val="28"/>
                <w:szCs w:val="28"/>
              </w:rPr>
              <w:t>d) Possible impact on governance and DTP management</w:t>
            </w:r>
          </w:p>
        </w:tc>
      </w:tr>
      <w:tr w:rsidR="00B979B3" w:rsidRPr="003C7B94" w14:paraId="1BF83625" w14:textId="77777777" w:rsidTr="00402853">
        <w:trPr>
          <w:trHeight w:val="438"/>
          <w:jc w:val="center"/>
        </w:trPr>
        <w:tc>
          <w:tcPr>
            <w:tcW w:w="4106" w:type="dxa"/>
            <w:gridSpan w:val="2"/>
            <w:tcBorders>
              <w:top w:val="single" w:sz="4" w:space="0" w:color="auto"/>
            </w:tcBorders>
            <w:shd w:val="clear" w:color="auto" w:fill="D8F9BF"/>
            <w:vAlign w:val="center"/>
          </w:tcPr>
          <w:p w14:paraId="5A422506" w14:textId="77777777" w:rsidR="00B979B3" w:rsidRPr="003C7B94" w:rsidRDefault="00B979B3" w:rsidP="00903E49">
            <w:pPr>
              <w:rPr>
                <w:rFonts w:ascii="Arial" w:hAnsi="Arial" w:cs="Arial"/>
                <w:b/>
                <w:color w:val="006666"/>
              </w:rPr>
            </w:pPr>
            <w:r w:rsidRPr="003C7B94">
              <w:rPr>
                <w:rFonts w:ascii="Arial" w:hAnsi="Arial" w:cs="Arial"/>
                <w:b/>
                <w:color w:val="006666"/>
              </w:rPr>
              <w:t xml:space="preserve">Risk  </w:t>
            </w:r>
          </w:p>
        </w:tc>
        <w:tc>
          <w:tcPr>
            <w:tcW w:w="3969" w:type="dxa"/>
            <w:gridSpan w:val="2"/>
            <w:tcBorders>
              <w:top w:val="single" w:sz="4" w:space="0" w:color="auto"/>
            </w:tcBorders>
            <w:shd w:val="clear" w:color="auto" w:fill="D8F9BF"/>
            <w:vAlign w:val="center"/>
          </w:tcPr>
          <w:p w14:paraId="36933178" w14:textId="77777777" w:rsidR="00B979B3" w:rsidRPr="003C7B94" w:rsidRDefault="00B979B3" w:rsidP="00903E49">
            <w:pPr>
              <w:rPr>
                <w:rFonts w:ascii="Arial" w:hAnsi="Arial" w:cs="Arial"/>
                <w:b/>
                <w:color w:val="006666"/>
              </w:rPr>
            </w:pPr>
            <w:r w:rsidRPr="003C7B94">
              <w:rPr>
                <w:rFonts w:ascii="Arial" w:hAnsi="Arial" w:cs="Arial"/>
                <w:b/>
                <w:color w:val="006666"/>
              </w:rPr>
              <w:t>Consequence of risk</w:t>
            </w:r>
          </w:p>
        </w:tc>
        <w:tc>
          <w:tcPr>
            <w:tcW w:w="6667" w:type="dxa"/>
            <w:tcBorders>
              <w:top w:val="single" w:sz="4" w:space="0" w:color="auto"/>
            </w:tcBorders>
            <w:shd w:val="clear" w:color="auto" w:fill="D8F9BF"/>
            <w:vAlign w:val="center"/>
          </w:tcPr>
          <w:p w14:paraId="47DD9DB6" w14:textId="77777777" w:rsidR="00B979B3" w:rsidRPr="003C7B94" w:rsidRDefault="00B979B3" w:rsidP="00903E49">
            <w:pPr>
              <w:rPr>
                <w:rFonts w:ascii="Arial" w:hAnsi="Arial" w:cs="Arial"/>
                <w:b/>
                <w:color w:val="006666"/>
              </w:rPr>
            </w:pPr>
            <w:r w:rsidRPr="003C7B94">
              <w:rPr>
                <w:rFonts w:ascii="Arial" w:hAnsi="Arial" w:cs="Arial"/>
                <w:b/>
                <w:color w:val="006666"/>
              </w:rPr>
              <w:t>Mitigation</w:t>
            </w:r>
          </w:p>
        </w:tc>
      </w:tr>
      <w:tr w:rsidR="00402853" w:rsidRPr="003C7B94" w14:paraId="5201CB5B" w14:textId="77777777" w:rsidTr="00C65194">
        <w:trPr>
          <w:jc w:val="center"/>
        </w:trPr>
        <w:tc>
          <w:tcPr>
            <w:tcW w:w="4106" w:type="dxa"/>
            <w:gridSpan w:val="2"/>
            <w:vAlign w:val="center"/>
          </w:tcPr>
          <w:p w14:paraId="1C41F9EB" w14:textId="26441EDB" w:rsidR="00402853" w:rsidRDefault="00402853" w:rsidP="00402853">
            <w:r w:rsidRPr="00D0097E">
              <w:t xml:space="preserve">DTP </w:t>
            </w:r>
            <w:r>
              <w:t xml:space="preserve">core team and Executive Team </w:t>
            </w:r>
            <w:r w:rsidRPr="00381321">
              <w:t>meetings are</w:t>
            </w:r>
            <w:r w:rsidR="00C65194">
              <w:t xml:space="preserve"> not possible in person</w:t>
            </w:r>
          </w:p>
        </w:tc>
        <w:tc>
          <w:tcPr>
            <w:tcW w:w="3969" w:type="dxa"/>
            <w:gridSpan w:val="2"/>
            <w:vAlign w:val="center"/>
          </w:tcPr>
          <w:p w14:paraId="2A1D62FF" w14:textId="02D8FA9C" w:rsidR="00402853" w:rsidRDefault="00402853" w:rsidP="00402853">
            <w:r w:rsidRPr="00381321">
              <w:t xml:space="preserve">•  </w:t>
            </w:r>
            <w:r w:rsidR="00C65194">
              <w:t xml:space="preserve">Difficult to </w:t>
            </w:r>
            <w:r w:rsidRPr="00A7127C">
              <w:t xml:space="preserve">discuss </w:t>
            </w:r>
            <w:r>
              <w:t>operational i</w:t>
            </w:r>
            <w:r w:rsidRPr="00A7127C">
              <w:t>ssues</w:t>
            </w:r>
          </w:p>
        </w:tc>
        <w:tc>
          <w:tcPr>
            <w:tcW w:w="6667" w:type="dxa"/>
            <w:vAlign w:val="center"/>
          </w:tcPr>
          <w:p w14:paraId="446B9412" w14:textId="77777777" w:rsidR="00402853" w:rsidRDefault="00402853" w:rsidP="00402853">
            <w:r w:rsidRPr="00381321">
              <w:t xml:space="preserve">• </w:t>
            </w:r>
            <w:r w:rsidRPr="00A7127C">
              <w:t>Set up virtual meetings</w:t>
            </w:r>
            <w:r w:rsidRPr="00381321">
              <w:t xml:space="preserve">; </w:t>
            </w:r>
            <w:r>
              <w:t xml:space="preserve">all </w:t>
            </w:r>
            <w:r w:rsidRPr="00381321">
              <w:t xml:space="preserve">members attend remotely </w:t>
            </w:r>
          </w:p>
          <w:p w14:paraId="6E1C62A8" w14:textId="77777777" w:rsidR="00402853" w:rsidRDefault="00402853" w:rsidP="00402853">
            <w:r>
              <w:t xml:space="preserve">• Consider </w:t>
            </w:r>
            <w:r w:rsidRPr="00D0097E">
              <w:t xml:space="preserve">access/ability to participate - whether for reasons of disability or inability to work if </w:t>
            </w:r>
            <w:r>
              <w:t>colleagues</w:t>
            </w:r>
            <w:r w:rsidRPr="00D0097E">
              <w:t xml:space="preserve"> have caring responsibilities.</w:t>
            </w:r>
            <w:r w:rsidRPr="00381321">
              <w:t xml:space="preserve"> </w:t>
            </w:r>
          </w:p>
        </w:tc>
      </w:tr>
      <w:tr w:rsidR="00402853" w:rsidRPr="003C7B94" w14:paraId="59538624" w14:textId="77777777" w:rsidTr="00C65194">
        <w:trPr>
          <w:jc w:val="center"/>
        </w:trPr>
        <w:tc>
          <w:tcPr>
            <w:tcW w:w="4106" w:type="dxa"/>
            <w:gridSpan w:val="2"/>
            <w:vAlign w:val="center"/>
          </w:tcPr>
          <w:p w14:paraId="29E33382" w14:textId="77777777" w:rsidR="00402853" w:rsidRDefault="00402853" w:rsidP="00402853">
            <w:r>
              <w:t>Strategy and Advisory B</w:t>
            </w:r>
            <w:r w:rsidRPr="00381321">
              <w:t>oard meetings are cancelled</w:t>
            </w:r>
          </w:p>
        </w:tc>
        <w:tc>
          <w:tcPr>
            <w:tcW w:w="3969" w:type="dxa"/>
            <w:gridSpan w:val="2"/>
            <w:vAlign w:val="center"/>
          </w:tcPr>
          <w:p w14:paraId="0C3BC6B7" w14:textId="089E4B2C" w:rsidR="00402853" w:rsidRDefault="00402853" w:rsidP="00402853">
            <w:r w:rsidRPr="00381321">
              <w:t xml:space="preserve">•  </w:t>
            </w:r>
            <w:r w:rsidR="00C65194">
              <w:t xml:space="preserve">Difficult </w:t>
            </w:r>
            <w:r w:rsidRPr="00381321">
              <w:t>to discuss essential DTP issues</w:t>
            </w:r>
          </w:p>
        </w:tc>
        <w:tc>
          <w:tcPr>
            <w:tcW w:w="6667" w:type="dxa"/>
            <w:vAlign w:val="center"/>
          </w:tcPr>
          <w:p w14:paraId="6C430EB4" w14:textId="77777777" w:rsidR="00402853" w:rsidRDefault="00402853" w:rsidP="00402853">
            <w:r w:rsidRPr="00381321">
              <w:t>•  Set up virtual meetings</w:t>
            </w:r>
          </w:p>
          <w:p w14:paraId="63980061" w14:textId="77777777" w:rsidR="00402853" w:rsidRDefault="00402853" w:rsidP="00402853">
            <w:r>
              <w:t xml:space="preserve">• Consider </w:t>
            </w:r>
            <w:r w:rsidRPr="00D0097E">
              <w:t xml:space="preserve">access/ability to participate - whether for reasons of disability or inability to work if </w:t>
            </w:r>
            <w:r>
              <w:t>colleagues</w:t>
            </w:r>
            <w:r w:rsidRPr="00D0097E">
              <w:t xml:space="preserve"> have caring responsibilities.</w:t>
            </w:r>
          </w:p>
        </w:tc>
      </w:tr>
      <w:tr w:rsidR="00402853" w:rsidRPr="003C7B94" w14:paraId="04D1D6AA" w14:textId="77777777" w:rsidTr="00C65194">
        <w:trPr>
          <w:jc w:val="center"/>
        </w:trPr>
        <w:tc>
          <w:tcPr>
            <w:tcW w:w="4106" w:type="dxa"/>
            <w:gridSpan w:val="2"/>
            <w:vAlign w:val="center"/>
          </w:tcPr>
          <w:p w14:paraId="744E0B69" w14:textId="77777777" w:rsidR="00402853" w:rsidRDefault="00402853" w:rsidP="00402853">
            <w:r>
              <w:t>DTP management unable to work due to own or dependants’ ill-health</w:t>
            </w:r>
          </w:p>
        </w:tc>
        <w:tc>
          <w:tcPr>
            <w:tcW w:w="3969" w:type="dxa"/>
            <w:gridSpan w:val="2"/>
            <w:vAlign w:val="center"/>
          </w:tcPr>
          <w:p w14:paraId="7118B068" w14:textId="77777777" w:rsidR="00402853" w:rsidRDefault="00402853" w:rsidP="00402853">
            <w:r w:rsidRPr="00D0097E">
              <w:t xml:space="preserve">•  Unable to </w:t>
            </w:r>
            <w:r>
              <w:t>make</w:t>
            </w:r>
            <w:r w:rsidRPr="00D0097E">
              <w:t xml:space="preserve"> </w:t>
            </w:r>
            <w:r>
              <w:t>operational decisions including authorising expenditure</w:t>
            </w:r>
          </w:p>
        </w:tc>
        <w:tc>
          <w:tcPr>
            <w:tcW w:w="6667" w:type="dxa"/>
            <w:vAlign w:val="center"/>
          </w:tcPr>
          <w:p w14:paraId="5B3469F6" w14:textId="77777777" w:rsidR="00402853" w:rsidRDefault="00402853" w:rsidP="00402853">
            <w:r w:rsidRPr="00D0097E">
              <w:t xml:space="preserve">•  </w:t>
            </w:r>
            <w:r>
              <w:t>Agree cover for colleagues, with deputies; support from wider PGR Service at UEA</w:t>
            </w:r>
          </w:p>
        </w:tc>
      </w:tr>
    </w:tbl>
    <w:p w14:paraId="0124F880" w14:textId="77777777" w:rsidR="00B979B3" w:rsidRDefault="00B979B3" w:rsidP="00C65194">
      <w:pPr>
        <w:rPr>
          <w:b/>
          <w:color w:val="009999"/>
          <w:sz w:val="28"/>
          <w:szCs w:val="28"/>
        </w:rPr>
      </w:pPr>
    </w:p>
    <w:sectPr w:rsidR="00B979B3" w:rsidSect="003C7B94">
      <w:pgSz w:w="16838" w:h="11906" w:orient="landscape"/>
      <w:pgMar w:top="1083" w:right="1077" w:bottom="1083"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9603D"/>
    <w:multiLevelType w:val="hybridMultilevel"/>
    <w:tmpl w:val="96805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7C3BB3"/>
    <w:multiLevelType w:val="hybridMultilevel"/>
    <w:tmpl w:val="E9D8A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446D21"/>
    <w:multiLevelType w:val="hybridMultilevel"/>
    <w:tmpl w:val="A2FE6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91E2C"/>
    <w:multiLevelType w:val="hybridMultilevel"/>
    <w:tmpl w:val="65C2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77AA6"/>
    <w:multiLevelType w:val="hybridMultilevel"/>
    <w:tmpl w:val="7DE2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2233B"/>
    <w:multiLevelType w:val="hybridMultilevel"/>
    <w:tmpl w:val="A416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A5E1F"/>
    <w:multiLevelType w:val="hybridMultilevel"/>
    <w:tmpl w:val="20781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840234"/>
    <w:multiLevelType w:val="hybridMultilevel"/>
    <w:tmpl w:val="66F2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4"/>
  </w:num>
  <w:num w:numId="5">
    <w:abstractNumId w:val="7"/>
  </w:num>
  <w:num w:numId="6">
    <w:abstractNumId w:val="2"/>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27B"/>
    <w:rsid w:val="00084923"/>
    <w:rsid w:val="00096CEB"/>
    <w:rsid w:val="000D61AE"/>
    <w:rsid w:val="002F45C1"/>
    <w:rsid w:val="0030027B"/>
    <w:rsid w:val="00381321"/>
    <w:rsid w:val="003C7B94"/>
    <w:rsid w:val="00402853"/>
    <w:rsid w:val="00433222"/>
    <w:rsid w:val="00515179"/>
    <w:rsid w:val="0060491F"/>
    <w:rsid w:val="00666C41"/>
    <w:rsid w:val="007B1FC8"/>
    <w:rsid w:val="007D4C90"/>
    <w:rsid w:val="007F065A"/>
    <w:rsid w:val="008338E7"/>
    <w:rsid w:val="00847EB6"/>
    <w:rsid w:val="008657A5"/>
    <w:rsid w:val="008A4D28"/>
    <w:rsid w:val="0095395A"/>
    <w:rsid w:val="00A7127C"/>
    <w:rsid w:val="00AE414E"/>
    <w:rsid w:val="00B512C7"/>
    <w:rsid w:val="00B746E9"/>
    <w:rsid w:val="00B74EAA"/>
    <w:rsid w:val="00B979B3"/>
    <w:rsid w:val="00BF06A0"/>
    <w:rsid w:val="00C425FB"/>
    <w:rsid w:val="00C65194"/>
    <w:rsid w:val="00CC014D"/>
    <w:rsid w:val="00D005C9"/>
    <w:rsid w:val="00D0097E"/>
    <w:rsid w:val="00D253C5"/>
    <w:rsid w:val="00D86914"/>
    <w:rsid w:val="00DE2945"/>
    <w:rsid w:val="00E250BB"/>
    <w:rsid w:val="00E622A3"/>
    <w:rsid w:val="00E84527"/>
    <w:rsid w:val="00F87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64E3"/>
  <w15:chartTrackingRefBased/>
  <w15:docId w15:val="{EEF6D1A6-A1C7-4D20-A93B-7587D04A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4C90"/>
    <w:rPr>
      <w:color w:val="0563C1"/>
      <w:u w:val="single"/>
    </w:rPr>
  </w:style>
  <w:style w:type="paragraph" w:styleId="ListParagraph">
    <w:name w:val="List Paragraph"/>
    <w:basedOn w:val="Normal"/>
    <w:uiPriority w:val="34"/>
    <w:qFormat/>
    <w:rsid w:val="007D4C90"/>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F87493"/>
    <w:rPr>
      <w:color w:val="954F72" w:themeColor="followedHyperlink"/>
      <w:u w:val="single"/>
    </w:rPr>
  </w:style>
  <w:style w:type="paragraph" w:styleId="BalloonText">
    <w:name w:val="Balloon Text"/>
    <w:basedOn w:val="Normal"/>
    <w:link w:val="BalloonTextChar"/>
    <w:uiPriority w:val="99"/>
    <w:semiHidden/>
    <w:unhideWhenUsed/>
    <w:rsid w:val="0051517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5179"/>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D86914"/>
    <w:rPr>
      <w:color w:val="605E5C"/>
      <w:shd w:val="clear" w:color="auto" w:fill="E1DFDD"/>
    </w:rPr>
  </w:style>
  <w:style w:type="character" w:styleId="CommentReference">
    <w:name w:val="annotation reference"/>
    <w:basedOn w:val="DefaultParagraphFont"/>
    <w:uiPriority w:val="99"/>
    <w:semiHidden/>
    <w:unhideWhenUsed/>
    <w:rsid w:val="007B1FC8"/>
    <w:rPr>
      <w:sz w:val="16"/>
      <w:szCs w:val="16"/>
    </w:rPr>
  </w:style>
  <w:style w:type="paragraph" w:styleId="CommentText">
    <w:name w:val="annotation text"/>
    <w:basedOn w:val="Normal"/>
    <w:link w:val="CommentTextChar"/>
    <w:uiPriority w:val="99"/>
    <w:semiHidden/>
    <w:unhideWhenUsed/>
    <w:rsid w:val="007B1FC8"/>
    <w:pPr>
      <w:spacing w:line="240" w:lineRule="auto"/>
    </w:pPr>
    <w:rPr>
      <w:sz w:val="20"/>
      <w:szCs w:val="20"/>
    </w:rPr>
  </w:style>
  <w:style w:type="character" w:customStyle="1" w:styleId="CommentTextChar">
    <w:name w:val="Comment Text Char"/>
    <w:basedOn w:val="DefaultParagraphFont"/>
    <w:link w:val="CommentText"/>
    <w:uiPriority w:val="99"/>
    <w:semiHidden/>
    <w:rsid w:val="007B1FC8"/>
    <w:rPr>
      <w:sz w:val="20"/>
      <w:szCs w:val="20"/>
    </w:rPr>
  </w:style>
  <w:style w:type="paragraph" w:styleId="CommentSubject">
    <w:name w:val="annotation subject"/>
    <w:basedOn w:val="CommentText"/>
    <w:next w:val="CommentText"/>
    <w:link w:val="CommentSubjectChar"/>
    <w:uiPriority w:val="99"/>
    <w:semiHidden/>
    <w:unhideWhenUsed/>
    <w:rsid w:val="007B1FC8"/>
    <w:rPr>
      <w:b/>
      <w:bCs/>
    </w:rPr>
  </w:style>
  <w:style w:type="character" w:customStyle="1" w:styleId="CommentSubjectChar">
    <w:name w:val="Comment Subject Char"/>
    <w:basedOn w:val="CommentTextChar"/>
    <w:link w:val="CommentSubject"/>
    <w:uiPriority w:val="99"/>
    <w:semiHidden/>
    <w:rsid w:val="007B1F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26017">
      <w:bodyDiv w:val="1"/>
      <w:marLeft w:val="0"/>
      <w:marRight w:val="0"/>
      <w:marTop w:val="0"/>
      <w:marBottom w:val="0"/>
      <w:divBdr>
        <w:top w:val="none" w:sz="0" w:space="0" w:color="auto"/>
        <w:left w:val="none" w:sz="0" w:space="0" w:color="auto"/>
        <w:bottom w:val="none" w:sz="0" w:space="0" w:color="auto"/>
        <w:right w:val="none" w:sz="0" w:space="0" w:color="auto"/>
      </w:divBdr>
    </w:div>
    <w:div w:id="670573110">
      <w:bodyDiv w:val="1"/>
      <w:marLeft w:val="0"/>
      <w:marRight w:val="0"/>
      <w:marTop w:val="0"/>
      <w:marBottom w:val="0"/>
      <w:divBdr>
        <w:top w:val="none" w:sz="0" w:space="0" w:color="auto"/>
        <w:left w:val="none" w:sz="0" w:space="0" w:color="auto"/>
        <w:bottom w:val="none" w:sz="0" w:space="0" w:color="auto"/>
        <w:right w:val="none" w:sz="0" w:space="0" w:color="auto"/>
      </w:divBdr>
    </w:div>
    <w:div w:id="1257789065">
      <w:bodyDiv w:val="1"/>
      <w:marLeft w:val="0"/>
      <w:marRight w:val="0"/>
      <w:marTop w:val="0"/>
      <w:marBottom w:val="0"/>
      <w:divBdr>
        <w:top w:val="none" w:sz="0" w:space="0" w:color="auto"/>
        <w:left w:val="none" w:sz="0" w:space="0" w:color="auto"/>
        <w:bottom w:val="none" w:sz="0" w:space="0" w:color="auto"/>
        <w:right w:val="none" w:sz="0" w:space="0" w:color="auto"/>
      </w:divBdr>
    </w:div>
    <w:div w:id="193878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ducational-settings-about-covid-19/covid-19-travel-guidance-for-the-education-sector" TargetMode="External"/><Relationship Id="rId13" Type="http://schemas.openxmlformats.org/officeDocument/2006/relationships/hyperlink" Target="mailto:aries.dtp@uea.ac.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aries-dtp.ac.uk/wp-content/uploads/2020/11/DTP-Risk-Register.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aries-dtp.ac.uk/wp-content/uploads/2019/11/ARIES-Handbook-2019_20.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enveast.ac.uk/documents/5777943/7097052/EnvEast+Handbook_2019.pdf/778bf70d-a90e-bdce-9d14-e2ece6175376" TargetMode="External"/><Relationship Id="rId4" Type="http://schemas.openxmlformats.org/officeDocument/2006/relationships/webSettings" Target="webSettings.xml"/><Relationship Id="rId9" Type="http://schemas.openxmlformats.org/officeDocument/2006/relationships/hyperlink" Target="https://www.ukri.org/news/coronavirus-impact-on-ukri-supported-resea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Steele (PGR - Staff)</dc:creator>
  <cp:keywords/>
  <dc:description/>
  <cp:lastModifiedBy>Alice Brewer (PGR - Staff)</cp:lastModifiedBy>
  <cp:revision>2</cp:revision>
  <dcterms:created xsi:type="dcterms:W3CDTF">2021-09-23T08:30:00Z</dcterms:created>
  <dcterms:modified xsi:type="dcterms:W3CDTF">2021-09-23T08:30:00Z</dcterms:modified>
</cp:coreProperties>
</file>