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1269" w14:textId="2F986E9B" w:rsidR="0043736F" w:rsidRPr="00AE4CD6" w:rsidRDefault="0043736F" w:rsidP="0043736F">
      <w:pPr>
        <w:jc w:val="center"/>
        <w:rPr>
          <w:rFonts w:asciiTheme="minorHAnsi" w:hAnsiTheme="minorHAnsi" w:cstheme="minorHAnsi"/>
          <w:b/>
          <w:bCs/>
        </w:rPr>
      </w:pPr>
      <w:r w:rsidRPr="00AE4CD6">
        <w:rPr>
          <w:rFonts w:asciiTheme="minorHAnsi" w:hAnsiTheme="minorHAnsi" w:cstheme="minorHAnsi"/>
          <w:b/>
          <w:bCs/>
        </w:rPr>
        <w:t>EnvEast/ARIES Policy o</w:t>
      </w:r>
      <w:r w:rsidR="00F2203E" w:rsidRPr="00AE4CD6">
        <w:rPr>
          <w:rFonts w:asciiTheme="minorHAnsi" w:hAnsiTheme="minorHAnsi" w:cstheme="minorHAnsi"/>
          <w:b/>
          <w:bCs/>
        </w:rPr>
        <w:t>n</w:t>
      </w:r>
      <w:r w:rsidRPr="00AE4CD6">
        <w:rPr>
          <w:rFonts w:asciiTheme="minorHAnsi" w:hAnsiTheme="minorHAnsi" w:cstheme="minorHAnsi"/>
          <w:b/>
          <w:bCs/>
        </w:rPr>
        <w:t xml:space="preserve"> funded extensions for DTP students</w:t>
      </w:r>
      <w:r w:rsidR="007B4A72" w:rsidRPr="00AE4CD6">
        <w:rPr>
          <w:rFonts w:asciiTheme="minorHAnsi" w:hAnsiTheme="minorHAnsi" w:cstheme="minorHAnsi"/>
          <w:b/>
          <w:bCs/>
        </w:rPr>
        <w:t xml:space="preserve"> </w:t>
      </w:r>
      <w:r w:rsidR="00F2203E" w:rsidRPr="00AE4CD6">
        <w:rPr>
          <w:rFonts w:asciiTheme="minorHAnsi" w:hAnsiTheme="minorHAnsi" w:cstheme="minorHAnsi"/>
          <w:b/>
          <w:bCs/>
        </w:rPr>
        <w:t>affected by</w:t>
      </w:r>
      <w:r w:rsidR="007B4A72" w:rsidRPr="00AE4CD6">
        <w:rPr>
          <w:rFonts w:asciiTheme="minorHAnsi" w:hAnsiTheme="minorHAnsi" w:cstheme="minorHAnsi"/>
          <w:b/>
          <w:bCs/>
        </w:rPr>
        <w:t xml:space="preserve"> disruption due to the COVID-19 pandemic</w:t>
      </w:r>
    </w:p>
    <w:p w14:paraId="0DBD101A" w14:textId="77777777" w:rsidR="0043736F" w:rsidRDefault="0043736F">
      <w:pPr>
        <w:rPr>
          <w:rFonts w:asciiTheme="minorHAnsi" w:hAnsiTheme="minorHAnsi" w:cstheme="minorHAnsi"/>
        </w:rPr>
      </w:pPr>
    </w:p>
    <w:p w14:paraId="788AEB65" w14:textId="0A943DDC" w:rsidR="007159C4" w:rsidRPr="004F3820" w:rsidRDefault="007159C4">
      <w:pPr>
        <w:rPr>
          <w:rFonts w:asciiTheme="minorHAnsi" w:hAnsiTheme="minorHAnsi" w:cstheme="minorHAnsi"/>
          <w:b/>
        </w:rPr>
      </w:pPr>
      <w:r w:rsidRPr="004F3820">
        <w:rPr>
          <w:rFonts w:asciiTheme="minorHAnsi" w:hAnsiTheme="minorHAnsi" w:cstheme="minorHAnsi"/>
          <w:b/>
        </w:rPr>
        <w:t xml:space="preserve">Document last updated: </w:t>
      </w:r>
      <w:r w:rsidR="001B0557">
        <w:rPr>
          <w:rFonts w:asciiTheme="minorHAnsi" w:hAnsiTheme="minorHAnsi" w:cstheme="minorHAnsi"/>
          <w:b/>
        </w:rPr>
        <w:t>30</w:t>
      </w:r>
      <w:r w:rsidRPr="004F3820">
        <w:rPr>
          <w:rFonts w:asciiTheme="minorHAnsi" w:hAnsiTheme="minorHAnsi" w:cstheme="minorHAnsi"/>
          <w:b/>
        </w:rPr>
        <w:t xml:space="preserve"> April 2020.</w:t>
      </w:r>
    </w:p>
    <w:p w14:paraId="291F73A3" w14:textId="77777777" w:rsidR="004F7B0E" w:rsidRPr="00AE4CD6" w:rsidRDefault="0043736F" w:rsidP="00B22BDD">
      <w:pPr>
        <w:spacing w:before="120" w:after="120"/>
        <w:rPr>
          <w:rFonts w:asciiTheme="minorHAnsi" w:hAnsiTheme="minorHAnsi" w:cstheme="minorHAnsi"/>
        </w:rPr>
      </w:pPr>
      <w:r w:rsidRPr="00AE4CD6">
        <w:rPr>
          <w:rFonts w:asciiTheme="minorHAnsi" w:hAnsiTheme="minorHAnsi" w:cstheme="minorHAnsi"/>
        </w:rPr>
        <w:t>Th</w:t>
      </w:r>
      <w:r w:rsidR="00FF4B92" w:rsidRPr="00AE4CD6">
        <w:rPr>
          <w:rFonts w:asciiTheme="minorHAnsi" w:hAnsiTheme="minorHAnsi" w:cstheme="minorHAnsi"/>
        </w:rPr>
        <w:t>is</w:t>
      </w:r>
      <w:r w:rsidRPr="00AE4CD6">
        <w:rPr>
          <w:rFonts w:asciiTheme="minorHAnsi" w:hAnsiTheme="minorHAnsi" w:cstheme="minorHAnsi"/>
        </w:rPr>
        <w:t xml:space="preserve"> policy </w:t>
      </w:r>
      <w:r w:rsidR="00FF4B92" w:rsidRPr="00AE4CD6">
        <w:rPr>
          <w:rFonts w:asciiTheme="minorHAnsi" w:hAnsiTheme="minorHAnsi" w:cstheme="minorHAnsi"/>
        </w:rPr>
        <w:t>is guided</w:t>
      </w:r>
      <w:r w:rsidRPr="00AE4CD6">
        <w:rPr>
          <w:rFonts w:asciiTheme="minorHAnsi" w:hAnsiTheme="minorHAnsi" w:cstheme="minorHAnsi"/>
        </w:rPr>
        <w:t xml:space="preserve"> by </w:t>
      </w:r>
      <w:r w:rsidR="00FF4B92" w:rsidRPr="00AE4CD6">
        <w:rPr>
          <w:rFonts w:asciiTheme="minorHAnsi" w:hAnsiTheme="minorHAnsi" w:cstheme="minorHAnsi"/>
        </w:rPr>
        <w:t xml:space="preserve">the </w:t>
      </w:r>
      <w:r w:rsidRPr="00AE4CD6">
        <w:rPr>
          <w:rFonts w:asciiTheme="minorHAnsi" w:hAnsiTheme="minorHAnsi" w:cstheme="minorHAnsi"/>
        </w:rPr>
        <w:t>UKRI</w:t>
      </w:r>
      <w:r w:rsidR="00FF4B92" w:rsidRPr="00AE4CD6">
        <w:rPr>
          <w:rFonts w:asciiTheme="minorHAnsi" w:hAnsiTheme="minorHAnsi" w:cstheme="minorHAnsi"/>
        </w:rPr>
        <w:t xml:space="preserve"> statement</w:t>
      </w:r>
      <w:r w:rsidRPr="00AE4CD6">
        <w:rPr>
          <w:rFonts w:asciiTheme="minorHAnsi" w:hAnsiTheme="minorHAnsi" w:cstheme="minorHAnsi"/>
        </w:rPr>
        <w:t xml:space="preserve"> </w:t>
      </w:r>
      <w:r w:rsidR="007B4A72" w:rsidRPr="00AE4CD6">
        <w:rPr>
          <w:rFonts w:asciiTheme="minorHAnsi" w:hAnsiTheme="minorHAnsi" w:cstheme="minorHAnsi"/>
        </w:rPr>
        <w:t xml:space="preserve">at this </w:t>
      </w:r>
      <w:hyperlink r:id="rId7" w:history="1">
        <w:r w:rsidRPr="00AE4CD6">
          <w:rPr>
            <w:rStyle w:val="Hyperlink"/>
            <w:rFonts w:asciiTheme="minorHAnsi" w:hAnsiTheme="minorHAnsi" w:cstheme="minorHAnsi"/>
          </w:rPr>
          <w:t>we</w:t>
        </w:r>
        <w:bookmarkStart w:id="0" w:name="_GoBack"/>
        <w:bookmarkEnd w:id="0"/>
        <w:r w:rsidRPr="00AE4CD6">
          <w:rPr>
            <w:rStyle w:val="Hyperlink"/>
            <w:rFonts w:asciiTheme="minorHAnsi" w:hAnsiTheme="minorHAnsi" w:cstheme="minorHAnsi"/>
          </w:rPr>
          <w:t>b</w:t>
        </w:r>
        <w:r w:rsidRPr="00AE4CD6">
          <w:rPr>
            <w:rStyle w:val="Hyperlink"/>
            <w:rFonts w:asciiTheme="minorHAnsi" w:hAnsiTheme="minorHAnsi" w:cstheme="minorHAnsi"/>
          </w:rPr>
          <w:t>site</w:t>
        </w:r>
      </w:hyperlink>
      <w:r w:rsidR="00FF4B92" w:rsidRPr="00AE4CD6">
        <w:rPr>
          <w:rFonts w:asciiTheme="minorHAnsi" w:hAnsiTheme="minorHAnsi" w:cstheme="minorHAnsi"/>
        </w:rPr>
        <w:t xml:space="preserve"> and will be </w:t>
      </w:r>
      <w:r w:rsidR="007B4A72" w:rsidRPr="00AE4CD6">
        <w:rPr>
          <w:rFonts w:asciiTheme="minorHAnsi" w:hAnsiTheme="minorHAnsi" w:cstheme="minorHAnsi"/>
        </w:rPr>
        <w:t>periodically</w:t>
      </w:r>
      <w:r w:rsidR="00FF4B92" w:rsidRPr="00AE4CD6">
        <w:rPr>
          <w:rFonts w:asciiTheme="minorHAnsi" w:hAnsiTheme="minorHAnsi" w:cstheme="minorHAnsi"/>
        </w:rPr>
        <w:t xml:space="preserve"> reviewed as UKRI</w:t>
      </w:r>
      <w:r w:rsidR="007B4A72" w:rsidRPr="00AE4CD6">
        <w:rPr>
          <w:rFonts w:asciiTheme="minorHAnsi" w:hAnsiTheme="minorHAnsi" w:cstheme="minorHAnsi"/>
        </w:rPr>
        <w:t xml:space="preserve"> </w:t>
      </w:r>
      <w:r w:rsidR="00FF4B92" w:rsidRPr="00AE4CD6">
        <w:rPr>
          <w:rFonts w:asciiTheme="minorHAnsi" w:hAnsiTheme="minorHAnsi" w:cstheme="minorHAnsi"/>
        </w:rPr>
        <w:t>guidance is updated</w:t>
      </w:r>
      <w:r w:rsidRPr="00AE4CD6">
        <w:rPr>
          <w:rFonts w:asciiTheme="minorHAnsi" w:hAnsiTheme="minorHAnsi" w:cstheme="minorHAnsi"/>
        </w:rPr>
        <w:t>.</w:t>
      </w:r>
    </w:p>
    <w:p w14:paraId="05D26F99" w14:textId="77777777" w:rsidR="001B0557" w:rsidRDefault="001B0557" w:rsidP="00B22BDD">
      <w:pPr>
        <w:spacing w:before="120" w:after="120"/>
        <w:rPr>
          <w:rFonts w:asciiTheme="minorHAnsi" w:hAnsiTheme="minorHAnsi" w:cstheme="minorHAnsi"/>
          <w:i/>
          <w:iCs/>
        </w:rPr>
      </w:pPr>
    </w:p>
    <w:p w14:paraId="36A404EA" w14:textId="7415DD29" w:rsidR="00F2203E" w:rsidRPr="001B0557" w:rsidRDefault="00F2203E" w:rsidP="00B22BDD">
      <w:pPr>
        <w:spacing w:before="120" w:after="120"/>
        <w:rPr>
          <w:rFonts w:asciiTheme="minorHAnsi" w:hAnsiTheme="minorHAnsi" w:cstheme="minorHAnsi"/>
          <w:i/>
          <w:iCs/>
          <w:color w:val="7030A0"/>
        </w:rPr>
      </w:pPr>
      <w:r w:rsidRPr="001B0557">
        <w:rPr>
          <w:rFonts w:asciiTheme="minorHAnsi" w:hAnsiTheme="minorHAnsi" w:cstheme="minorHAnsi"/>
          <w:i/>
          <w:iCs/>
          <w:color w:val="7030A0"/>
        </w:rPr>
        <w:t>UKRI</w:t>
      </w:r>
      <w:r w:rsidR="001B0557" w:rsidRPr="001B0557">
        <w:rPr>
          <w:rFonts w:asciiTheme="minorHAnsi" w:hAnsiTheme="minorHAnsi" w:cstheme="minorHAnsi"/>
          <w:i/>
          <w:iCs/>
          <w:color w:val="7030A0"/>
        </w:rPr>
        <w:t xml:space="preserve"> published an Implementation Strategy on 24</w:t>
      </w:r>
      <w:r w:rsidR="001B0557" w:rsidRPr="001B0557">
        <w:rPr>
          <w:rFonts w:asciiTheme="minorHAnsi" w:hAnsiTheme="minorHAnsi" w:cstheme="minorHAnsi"/>
          <w:i/>
          <w:iCs/>
          <w:color w:val="7030A0"/>
          <w:vertAlign w:val="superscript"/>
        </w:rPr>
        <w:t>th</w:t>
      </w:r>
      <w:r w:rsidR="001B0557" w:rsidRPr="001B0557">
        <w:rPr>
          <w:rFonts w:asciiTheme="minorHAnsi" w:hAnsiTheme="minorHAnsi" w:cstheme="minorHAnsi"/>
          <w:i/>
          <w:iCs/>
          <w:color w:val="7030A0"/>
        </w:rPr>
        <w:t xml:space="preserve"> April 2020 and </w:t>
      </w:r>
      <w:proofErr w:type="gramStart"/>
      <w:r w:rsidR="001B0557" w:rsidRPr="001B0557">
        <w:rPr>
          <w:rFonts w:asciiTheme="minorHAnsi" w:hAnsiTheme="minorHAnsi" w:cstheme="minorHAnsi"/>
          <w:i/>
          <w:iCs/>
          <w:color w:val="7030A0"/>
        </w:rPr>
        <w:t>we</w:t>
      </w:r>
      <w:proofErr w:type="gramEnd"/>
      <w:r w:rsidR="001B0557" w:rsidRPr="001B0557">
        <w:rPr>
          <w:rFonts w:asciiTheme="minorHAnsi" w:hAnsiTheme="minorHAnsi" w:cstheme="minorHAnsi"/>
          <w:i/>
          <w:iCs/>
          <w:color w:val="7030A0"/>
        </w:rPr>
        <w:t xml:space="preserve"> at the DTP will be contacting those in need of extensions in tranches over the coming month (May 2020). Please be patient with us as we </w:t>
      </w:r>
      <w:proofErr w:type="gramStart"/>
      <w:r w:rsidR="001B0557" w:rsidRPr="001B0557">
        <w:rPr>
          <w:rFonts w:asciiTheme="minorHAnsi" w:hAnsiTheme="minorHAnsi" w:cstheme="minorHAnsi"/>
          <w:i/>
          <w:iCs/>
          <w:color w:val="7030A0"/>
        </w:rPr>
        <w:t>look into</w:t>
      </w:r>
      <w:proofErr w:type="gramEnd"/>
      <w:r w:rsidR="001B0557" w:rsidRPr="001B0557">
        <w:rPr>
          <w:rFonts w:asciiTheme="minorHAnsi" w:hAnsiTheme="minorHAnsi" w:cstheme="minorHAnsi"/>
          <w:i/>
          <w:iCs/>
          <w:color w:val="7030A0"/>
        </w:rPr>
        <w:t xml:space="preserve"> eligibility and impact on research outcomes. </w:t>
      </w:r>
    </w:p>
    <w:p w14:paraId="7B86E7EE" w14:textId="77777777" w:rsidR="001B0557" w:rsidRPr="00AE4CD6" w:rsidRDefault="001B0557" w:rsidP="00B22BDD">
      <w:pPr>
        <w:spacing w:before="120" w:after="120"/>
        <w:rPr>
          <w:rFonts w:asciiTheme="minorHAnsi" w:hAnsiTheme="minorHAnsi" w:cstheme="minorHAnsi"/>
          <w:color w:val="FF0000"/>
        </w:rPr>
      </w:pPr>
    </w:p>
    <w:p w14:paraId="4D5D5089" w14:textId="77777777" w:rsidR="007B4A72" w:rsidRPr="00AE4CD6" w:rsidRDefault="004F7B0E" w:rsidP="00B22BDD">
      <w:pPr>
        <w:spacing w:before="120" w:after="120"/>
        <w:rPr>
          <w:rFonts w:asciiTheme="minorHAnsi" w:hAnsiTheme="minorHAnsi" w:cstheme="minorHAnsi"/>
        </w:rPr>
      </w:pPr>
      <w:r w:rsidRPr="00AE4CD6">
        <w:rPr>
          <w:rFonts w:asciiTheme="minorHAnsi" w:hAnsiTheme="minorHAnsi" w:cstheme="minorHAnsi"/>
        </w:rPr>
        <w:t>All the below applies to PGRs funded in whole or part by the EnvEast</w:t>
      </w:r>
      <w:r w:rsidR="00B22BDD" w:rsidRPr="00AE4CD6">
        <w:rPr>
          <w:rFonts w:asciiTheme="minorHAnsi" w:hAnsiTheme="minorHAnsi" w:cstheme="minorHAnsi"/>
        </w:rPr>
        <w:t>/</w:t>
      </w:r>
      <w:r w:rsidRPr="00AE4CD6">
        <w:rPr>
          <w:rFonts w:asciiTheme="minorHAnsi" w:hAnsiTheme="minorHAnsi" w:cstheme="minorHAnsi"/>
        </w:rPr>
        <w:t>ARIES DTP</w:t>
      </w:r>
      <w:r w:rsidR="00B22BDD" w:rsidRPr="00AE4CD6">
        <w:rPr>
          <w:rFonts w:asciiTheme="minorHAnsi" w:hAnsiTheme="minorHAnsi" w:cstheme="minorHAnsi"/>
        </w:rPr>
        <w:t>s</w:t>
      </w:r>
      <w:r w:rsidRPr="00AE4CD6">
        <w:rPr>
          <w:rFonts w:asciiTheme="minorHAnsi" w:hAnsiTheme="minorHAnsi" w:cstheme="minorHAnsi"/>
        </w:rPr>
        <w:t xml:space="preserve">. It does </w:t>
      </w:r>
      <w:r w:rsidRPr="00AE4CD6">
        <w:rPr>
          <w:rFonts w:asciiTheme="minorHAnsi" w:hAnsiTheme="minorHAnsi" w:cstheme="minorHAnsi"/>
          <w:b/>
          <w:bCs/>
        </w:rPr>
        <w:t>not apply to “Associated” DTP PGRs</w:t>
      </w:r>
      <w:r w:rsidRPr="00AE4CD6">
        <w:rPr>
          <w:rFonts w:asciiTheme="minorHAnsi" w:hAnsiTheme="minorHAnsi" w:cstheme="minorHAnsi"/>
        </w:rPr>
        <w:t>. The latter should consult with their Supervisors and home institutes.</w:t>
      </w:r>
    </w:p>
    <w:p w14:paraId="0FE77535" w14:textId="77777777" w:rsidR="0067051D" w:rsidRPr="00AE4CD6" w:rsidRDefault="00FF4B92" w:rsidP="00B22BDD">
      <w:pPr>
        <w:spacing w:before="120" w:after="120"/>
        <w:rPr>
          <w:rFonts w:asciiTheme="minorHAnsi" w:hAnsiTheme="minorHAnsi" w:cstheme="minorHAnsi"/>
        </w:rPr>
      </w:pPr>
      <w:r w:rsidRPr="00AE4CD6">
        <w:rPr>
          <w:rFonts w:asciiTheme="minorHAnsi" w:hAnsiTheme="minorHAnsi" w:cstheme="minorHAnsi"/>
        </w:rPr>
        <w:t xml:space="preserve">The policy is divided between those in their </w:t>
      </w:r>
      <w:r w:rsidRPr="00AE4CD6">
        <w:rPr>
          <w:rFonts w:asciiTheme="minorHAnsi" w:hAnsiTheme="minorHAnsi" w:cstheme="minorHAnsi"/>
          <w:b/>
          <w:bCs/>
        </w:rPr>
        <w:t>final year of study</w:t>
      </w:r>
      <w:r w:rsidRPr="00AE4CD6">
        <w:rPr>
          <w:rFonts w:asciiTheme="minorHAnsi" w:hAnsiTheme="minorHAnsi" w:cstheme="minorHAnsi"/>
        </w:rPr>
        <w:t xml:space="preserve"> </w:t>
      </w:r>
      <w:r w:rsidR="008F3421" w:rsidRPr="00AE4CD6">
        <w:rPr>
          <w:rFonts w:asciiTheme="minorHAnsi" w:hAnsiTheme="minorHAnsi" w:cstheme="minorHAnsi"/>
        </w:rPr>
        <w:t xml:space="preserve">and those in </w:t>
      </w:r>
      <w:r w:rsidR="008F3421" w:rsidRPr="00AE4CD6">
        <w:rPr>
          <w:rFonts w:asciiTheme="minorHAnsi" w:hAnsiTheme="minorHAnsi" w:cstheme="minorHAnsi"/>
          <w:b/>
          <w:bCs/>
        </w:rPr>
        <w:t>earlier years</w:t>
      </w:r>
      <w:r w:rsidR="008F3421" w:rsidRPr="00AE4CD6">
        <w:rPr>
          <w:rFonts w:asciiTheme="minorHAnsi" w:hAnsiTheme="minorHAnsi" w:cstheme="minorHAnsi"/>
        </w:rPr>
        <w:t>.</w:t>
      </w:r>
      <w:r w:rsidR="00030E6F" w:rsidRPr="00AE4CD6">
        <w:rPr>
          <w:rFonts w:asciiTheme="minorHAnsi" w:hAnsiTheme="minorHAnsi" w:cstheme="minorHAnsi"/>
        </w:rPr>
        <w:t xml:space="preserve"> </w:t>
      </w:r>
    </w:p>
    <w:p w14:paraId="3D883923" w14:textId="4CD63C4B" w:rsidR="00F2203E" w:rsidRPr="00AE4CD6" w:rsidRDefault="00030E6F" w:rsidP="00B22BDD">
      <w:pPr>
        <w:spacing w:before="120" w:after="120"/>
        <w:rPr>
          <w:rFonts w:asciiTheme="minorHAnsi" w:hAnsiTheme="minorHAnsi" w:cstheme="minorHAnsi"/>
        </w:rPr>
      </w:pPr>
      <w:r w:rsidRPr="00AE4CD6">
        <w:rPr>
          <w:rFonts w:asciiTheme="minorHAnsi" w:hAnsiTheme="minorHAnsi" w:cstheme="minorHAnsi"/>
        </w:rPr>
        <w:t>The DTP will</w:t>
      </w:r>
      <w:r w:rsidR="000F6194" w:rsidRPr="00AE4CD6">
        <w:rPr>
          <w:rFonts w:asciiTheme="minorHAnsi" w:hAnsiTheme="minorHAnsi" w:cstheme="minorHAnsi"/>
        </w:rPr>
        <w:t>, in both cases,</w:t>
      </w:r>
      <w:r w:rsidRPr="00AE4CD6">
        <w:rPr>
          <w:rFonts w:asciiTheme="minorHAnsi" w:hAnsiTheme="minorHAnsi" w:cstheme="minorHAnsi"/>
        </w:rPr>
        <w:t xml:space="preserve"> adopt the </w:t>
      </w:r>
      <w:r w:rsidR="00F2203E" w:rsidRPr="00AE4CD6">
        <w:rPr>
          <w:rFonts w:asciiTheme="minorHAnsi" w:hAnsiTheme="minorHAnsi" w:cstheme="minorHAnsi"/>
        </w:rPr>
        <w:t xml:space="preserve">twin </w:t>
      </w:r>
      <w:r w:rsidR="00F01F37">
        <w:rPr>
          <w:rFonts w:asciiTheme="minorHAnsi" w:hAnsiTheme="minorHAnsi" w:cstheme="minorHAnsi"/>
        </w:rPr>
        <w:t>principles</w:t>
      </w:r>
      <w:r w:rsidRPr="00AE4CD6">
        <w:rPr>
          <w:rFonts w:asciiTheme="minorHAnsi" w:hAnsiTheme="minorHAnsi" w:cstheme="minorHAnsi"/>
        </w:rPr>
        <w:t xml:space="preserve"> </w:t>
      </w:r>
      <w:r w:rsidR="00F2203E" w:rsidRPr="00AE4CD6">
        <w:rPr>
          <w:rFonts w:asciiTheme="minorHAnsi" w:hAnsiTheme="minorHAnsi" w:cstheme="minorHAnsi"/>
        </w:rPr>
        <w:t>of:</w:t>
      </w:r>
    </w:p>
    <w:p w14:paraId="2E04C71D" w14:textId="77777777" w:rsidR="00F2203E" w:rsidRPr="00AE4CD6" w:rsidRDefault="00F2203E" w:rsidP="000F6194">
      <w:pPr>
        <w:pStyle w:val="ListParagraph"/>
        <w:numPr>
          <w:ilvl w:val="0"/>
          <w:numId w:val="16"/>
        </w:numPr>
        <w:spacing w:before="120" w:after="120"/>
        <w:rPr>
          <w:rFonts w:cstheme="minorHAnsi"/>
        </w:rPr>
      </w:pPr>
      <w:r w:rsidRPr="00AE4CD6">
        <w:rPr>
          <w:rFonts w:cstheme="minorHAnsi"/>
          <w:b/>
          <w:bCs/>
        </w:rPr>
        <w:t xml:space="preserve">no </w:t>
      </w:r>
      <w:r w:rsidR="000F6194" w:rsidRPr="00AE4CD6">
        <w:rPr>
          <w:rFonts w:cstheme="minorHAnsi"/>
          <w:b/>
          <w:bCs/>
        </w:rPr>
        <w:t>detriment</w:t>
      </w:r>
      <w:r w:rsidRPr="00AE4CD6">
        <w:rPr>
          <w:rFonts w:cstheme="minorHAnsi"/>
        </w:rPr>
        <w:t xml:space="preserve"> due to the COVID-19 pandemic in terms of complet</w:t>
      </w:r>
      <w:r w:rsidR="000F6194" w:rsidRPr="00AE4CD6">
        <w:rPr>
          <w:rFonts w:cstheme="minorHAnsi"/>
        </w:rPr>
        <w:t>ing</w:t>
      </w:r>
      <w:r w:rsidRPr="00AE4CD6">
        <w:rPr>
          <w:rFonts w:cstheme="minorHAnsi"/>
        </w:rPr>
        <w:t xml:space="preserve"> such </w:t>
      </w:r>
      <w:r w:rsidR="000F6194" w:rsidRPr="00AE4CD6">
        <w:rPr>
          <w:rFonts w:cstheme="minorHAnsi"/>
        </w:rPr>
        <w:t>work</w:t>
      </w:r>
      <w:r w:rsidRPr="00AE4CD6">
        <w:rPr>
          <w:rFonts w:cstheme="minorHAnsi"/>
        </w:rPr>
        <w:t xml:space="preserve"> as</w:t>
      </w:r>
      <w:r w:rsidR="000F6194" w:rsidRPr="00AE4CD6">
        <w:rPr>
          <w:rFonts w:cstheme="minorHAnsi"/>
        </w:rPr>
        <w:t xml:space="preserve"> is </w:t>
      </w:r>
      <w:r w:rsidRPr="00AE4CD6">
        <w:rPr>
          <w:rFonts w:cstheme="minorHAnsi"/>
        </w:rPr>
        <w:t xml:space="preserve">necessary for </w:t>
      </w:r>
      <w:r w:rsidR="000F6194" w:rsidRPr="00AE4CD6">
        <w:rPr>
          <w:rFonts w:cstheme="minorHAnsi"/>
        </w:rPr>
        <w:t>the submission</w:t>
      </w:r>
      <w:r w:rsidRPr="00AE4CD6">
        <w:rPr>
          <w:rFonts w:cstheme="minorHAnsi"/>
        </w:rPr>
        <w:t xml:space="preserve"> of</w:t>
      </w:r>
      <w:r w:rsidR="000F6194" w:rsidRPr="00AE4CD6">
        <w:rPr>
          <w:rFonts w:cstheme="minorHAnsi"/>
        </w:rPr>
        <w:t xml:space="preserve"> a</w:t>
      </w:r>
      <w:r w:rsidRPr="00AE4CD6">
        <w:rPr>
          <w:rFonts w:cstheme="minorHAnsi"/>
        </w:rPr>
        <w:t xml:space="preserve"> </w:t>
      </w:r>
      <w:r w:rsidRPr="00AE4CD6">
        <w:rPr>
          <w:rFonts w:cstheme="minorHAnsi"/>
          <w:i/>
          <w:iCs/>
        </w:rPr>
        <w:t xml:space="preserve">suitable and </w:t>
      </w:r>
      <w:proofErr w:type="gramStart"/>
      <w:r w:rsidRPr="00AE4CD6">
        <w:rPr>
          <w:rFonts w:cstheme="minorHAnsi"/>
          <w:i/>
          <w:iCs/>
        </w:rPr>
        <w:t>sufficient</w:t>
      </w:r>
      <w:proofErr w:type="gramEnd"/>
      <w:r w:rsidRPr="00AE4CD6">
        <w:rPr>
          <w:rFonts w:cstheme="minorHAnsi"/>
          <w:i/>
          <w:iCs/>
        </w:rPr>
        <w:t xml:space="preserve"> </w:t>
      </w:r>
      <w:r w:rsidR="000F6194" w:rsidRPr="00AE4CD6">
        <w:rPr>
          <w:rFonts w:cstheme="minorHAnsi"/>
        </w:rPr>
        <w:t>body of work</w:t>
      </w:r>
      <w:r w:rsidR="000F6194" w:rsidRPr="00AE4CD6">
        <w:rPr>
          <w:rFonts w:cstheme="minorHAnsi"/>
          <w:i/>
          <w:iCs/>
        </w:rPr>
        <w:t xml:space="preserve"> </w:t>
      </w:r>
      <w:r w:rsidR="000F6194" w:rsidRPr="00AE4CD6">
        <w:rPr>
          <w:rFonts w:cstheme="minorHAnsi"/>
        </w:rPr>
        <w:t>for the award of a PhD degree</w:t>
      </w:r>
    </w:p>
    <w:p w14:paraId="08575D62" w14:textId="77777777" w:rsidR="008F3421" w:rsidRPr="00AE4CD6" w:rsidRDefault="00030E6F" w:rsidP="000F6194">
      <w:pPr>
        <w:pStyle w:val="ListParagraph"/>
        <w:numPr>
          <w:ilvl w:val="0"/>
          <w:numId w:val="16"/>
        </w:numPr>
        <w:spacing w:before="120" w:after="120"/>
        <w:rPr>
          <w:rFonts w:cstheme="minorHAnsi"/>
        </w:rPr>
      </w:pPr>
      <w:r w:rsidRPr="00AE4CD6">
        <w:rPr>
          <w:rFonts w:cstheme="minorHAnsi"/>
          <w:b/>
          <w:bCs/>
        </w:rPr>
        <w:t>no DTP-funded PGR should be disadvantaged</w:t>
      </w:r>
      <w:r w:rsidRPr="00AE4CD6">
        <w:rPr>
          <w:rFonts w:cstheme="minorHAnsi"/>
        </w:rPr>
        <w:t xml:space="preserve"> versus </w:t>
      </w:r>
      <w:r w:rsidR="000F6194" w:rsidRPr="00AE4CD6">
        <w:rPr>
          <w:rFonts w:cstheme="minorHAnsi"/>
        </w:rPr>
        <w:t>an</w:t>
      </w:r>
      <w:r w:rsidRPr="00AE4CD6">
        <w:rPr>
          <w:rFonts w:cstheme="minorHAnsi"/>
        </w:rPr>
        <w:t xml:space="preserve">other </w:t>
      </w:r>
      <w:r w:rsidR="000F6194" w:rsidRPr="00AE4CD6">
        <w:rPr>
          <w:rFonts w:cstheme="minorHAnsi"/>
        </w:rPr>
        <w:t>in so far as financial constraints allow</w:t>
      </w:r>
    </w:p>
    <w:p w14:paraId="1AA634C6" w14:textId="77777777" w:rsidR="000F6194" w:rsidRPr="00AE4CD6" w:rsidRDefault="000F6194" w:rsidP="000F6194">
      <w:pPr>
        <w:spacing w:before="120" w:after="120"/>
        <w:rPr>
          <w:rFonts w:asciiTheme="minorHAnsi" w:hAnsiTheme="minorHAnsi" w:cstheme="minorHAnsi"/>
        </w:rPr>
      </w:pPr>
    </w:p>
    <w:p w14:paraId="75433DEF" w14:textId="77777777" w:rsidR="008F3421" w:rsidRPr="00AE4CD6" w:rsidRDefault="008F3421" w:rsidP="0067051D">
      <w:pPr>
        <w:pStyle w:val="ListParagraph"/>
        <w:numPr>
          <w:ilvl w:val="0"/>
          <w:numId w:val="15"/>
        </w:numPr>
        <w:spacing w:before="120" w:after="120"/>
        <w:ind w:left="426" w:hanging="426"/>
        <w:contextualSpacing w:val="0"/>
        <w:rPr>
          <w:rFonts w:cstheme="minorHAnsi"/>
          <w:b/>
          <w:bCs/>
        </w:rPr>
      </w:pPr>
      <w:r w:rsidRPr="00AE4CD6">
        <w:rPr>
          <w:rFonts w:cstheme="minorHAnsi"/>
          <w:b/>
          <w:bCs/>
        </w:rPr>
        <w:t xml:space="preserve">PGRs </w:t>
      </w:r>
      <w:r w:rsidR="00FF4B92" w:rsidRPr="00AE4CD6">
        <w:rPr>
          <w:rFonts w:cstheme="minorHAnsi"/>
          <w:b/>
          <w:bCs/>
        </w:rPr>
        <w:t>whose funded period ends between 1 March 2020 and 31 March 2021</w:t>
      </w:r>
    </w:p>
    <w:p w14:paraId="2FABE7E5" w14:textId="51D3F0F2" w:rsidR="008F3421" w:rsidRPr="00AE4CD6" w:rsidRDefault="008F3421" w:rsidP="0067051D">
      <w:pPr>
        <w:pStyle w:val="ListParagraph"/>
        <w:numPr>
          <w:ilvl w:val="1"/>
          <w:numId w:val="15"/>
        </w:numPr>
        <w:spacing w:before="120" w:after="120"/>
        <w:ind w:left="851" w:hanging="425"/>
        <w:contextualSpacing w:val="0"/>
        <w:rPr>
          <w:rFonts w:cstheme="minorHAnsi"/>
        </w:rPr>
      </w:pPr>
      <w:r w:rsidRPr="00AE4CD6">
        <w:rPr>
          <w:rFonts w:cstheme="minorHAnsi"/>
        </w:rPr>
        <w:t>These PGRs</w:t>
      </w:r>
      <w:r w:rsidR="00FF4B92" w:rsidRPr="00AE4CD6">
        <w:rPr>
          <w:rFonts w:cstheme="minorHAnsi"/>
        </w:rPr>
        <w:t>,</w:t>
      </w:r>
      <w:r w:rsidRPr="00AE4CD6">
        <w:rPr>
          <w:rFonts w:cstheme="minorHAnsi"/>
        </w:rPr>
        <w:t xml:space="preserve"> in the final 12 months of their </w:t>
      </w:r>
      <w:r w:rsidR="00F01F37">
        <w:rPr>
          <w:rFonts w:cstheme="minorHAnsi"/>
        </w:rPr>
        <w:t>studentship funding</w:t>
      </w:r>
      <w:r w:rsidRPr="00AE4CD6">
        <w:rPr>
          <w:rFonts w:cstheme="minorHAnsi"/>
        </w:rPr>
        <w:t>,</w:t>
      </w:r>
      <w:r w:rsidR="00FF4B92" w:rsidRPr="00AE4CD6">
        <w:rPr>
          <w:rFonts w:cstheme="minorHAnsi"/>
        </w:rPr>
        <w:t xml:space="preserve"> are eligible for the </w:t>
      </w:r>
      <w:r w:rsidR="007B4A72" w:rsidRPr="00AE4CD6">
        <w:rPr>
          <w:rFonts w:cstheme="minorHAnsi"/>
        </w:rPr>
        <w:t>funded extension</w:t>
      </w:r>
      <w:r w:rsidR="000F6194" w:rsidRPr="00AE4CD6">
        <w:rPr>
          <w:rFonts w:cstheme="minorHAnsi"/>
        </w:rPr>
        <w:t xml:space="preserve"> of </w:t>
      </w:r>
      <w:r w:rsidR="000F6194" w:rsidRPr="00AE4CD6">
        <w:rPr>
          <w:rFonts w:cstheme="minorHAnsi"/>
          <w:b/>
          <w:bCs/>
        </w:rPr>
        <w:t>up to</w:t>
      </w:r>
      <w:r w:rsidR="00FF4B92" w:rsidRPr="00AE4CD6">
        <w:rPr>
          <w:rFonts w:cstheme="minorHAnsi"/>
        </w:rPr>
        <w:t xml:space="preserve"> </w:t>
      </w:r>
      <w:r w:rsidR="000F6194" w:rsidRPr="00AE4CD6">
        <w:rPr>
          <w:rFonts w:cstheme="minorHAnsi"/>
        </w:rPr>
        <w:t xml:space="preserve">6 months </w:t>
      </w:r>
      <w:r w:rsidR="00FF4B92" w:rsidRPr="00AE4CD6">
        <w:rPr>
          <w:rFonts w:cstheme="minorHAnsi"/>
        </w:rPr>
        <w:t>announced on 9th April by UKRI.</w:t>
      </w:r>
    </w:p>
    <w:p w14:paraId="70EC0F95" w14:textId="77777777" w:rsidR="009B3345" w:rsidRPr="00AE4CD6" w:rsidRDefault="009B3345" w:rsidP="0067051D">
      <w:pPr>
        <w:pStyle w:val="ListParagraph"/>
        <w:numPr>
          <w:ilvl w:val="1"/>
          <w:numId w:val="15"/>
        </w:numPr>
        <w:spacing w:before="120" w:after="120"/>
        <w:ind w:left="851" w:hanging="425"/>
        <w:contextualSpacing w:val="0"/>
        <w:rPr>
          <w:rFonts w:cstheme="minorHAnsi"/>
        </w:rPr>
      </w:pPr>
      <w:r w:rsidRPr="00AE4CD6">
        <w:rPr>
          <w:rFonts w:cstheme="minorHAnsi"/>
        </w:rPr>
        <w:t>Those whose period of funding</w:t>
      </w:r>
      <w:r w:rsidR="00150801">
        <w:rPr>
          <w:rFonts w:cstheme="minorHAnsi"/>
        </w:rPr>
        <w:t xml:space="preserve"> (i.e. the period within which the student receives a stipend)</w:t>
      </w:r>
      <w:r w:rsidRPr="00AE4CD6">
        <w:rPr>
          <w:rFonts w:cstheme="minorHAnsi"/>
        </w:rPr>
        <w:t xml:space="preserve"> ended on 31 March 2020 (mostly the </w:t>
      </w:r>
      <w:r w:rsidR="00AE4CD6">
        <w:rPr>
          <w:rFonts w:cstheme="minorHAnsi"/>
        </w:rPr>
        <w:t xml:space="preserve">EnvEast </w:t>
      </w:r>
      <w:r w:rsidRPr="00AE4CD6">
        <w:rPr>
          <w:rFonts w:cstheme="minorHAnsi"/>
        </w:rPr>
        <w:t xml:space="preserve">cohort of 2016-starters), are deemed eligible but, if they had completed their PhD studies by this date, or </w:t>
      </w:r>
      <w:r w:rsidR="00AE4CD6">
        <w:rPr>
          <w:rFonts w:cstheme="minorHAnsi"/>
        </w:rPr>
        <w:t>would</w:t>
      </w:r>
      <w:r w:rsidRPr="00AE4CD6">
        <w:rPr>
          <w:rFonts w:cstheme="minorHAnsi"/>
        </w:rPr>
        <w:t xml:space="preserve"> be able to do so with a shorter period of extension, they should report the need for reduced or no additional support.</w:t>
      </w:r>
    </w:p>
    <w:p w14:paraId="2B1ECDB4" w14:textId="4ACF5CBD" w:rsidR="008F3421" w:rsidRPr="00AE4CD6" w:rsidRDefault="008F3421" w:rsidP="0067051D">
      <w:pPr>
        <w:pStyle w:val="ListParagraph"/>
        <w:numPr>
          <w:ilvl w:val="1"/>
          <w:numId w:val="15"/>
        </w:numPr>
        <w:spacing w:before="120" w:after="120"/>
        <w:ind w:left="851" w:hanging="425"/>
        <w:contextualSpacing w:val="0"/>
        <w:rPr>
          <w:rFonts w:cstheme="minorHAnsi"/>
        </w:rPr>
      </w:pPr>
      <w:r w:rsidRPr="00AE4CD6">
        <w:rPr>
          <w:rFonts w:cstheme="minorHAnsi"/>
        </w:rPr>
        <w:t xml:space="preserve">For avoidance of doubt, this does </w:t>
      </w:r>
      <w:r w:rsidRPr="00AE4CD6">
        <w:rPr>
          <w:rFonts w:cstheme="minorHAnsi"/>
          <w:b/>
          <w:bCs/>
        </w:rPr>
        <w:t>not include</w:t>
      </w:r>
      <w:r w:rsidRPr="00AE4CD6">
        <w:rPr>
          <w:rFonts w:cstheme="minorHAnsi"/>
        </w:rPr>
        <w:t xml:space="preserve"> students who were writing up on 1 March 2020 after their studentship stipend had ended.</w:t>
      </w:r>
      <w:r w:rsidR="000F6194" w:rsidRPr="00AE4CD6">
        <w:rPr>
          <w:rFonts w:cstheme="minorHAnsi"/>
        </w:rPr>
        <w:t xml:space="preserve"> It also does </w:t>
      </w:r>
      <w:r w:rsidR="000F6194" w:rsidRPr="00AE4CD6">
        <w:rPr>
          <w:rFonts w:cstheme="minorHAnsi"/>
          <w:b/>
          <w:bCs/>
        </w:rPr>
        <w:t>not include</w:t>
      </w:r>
      <w:r w:rsidR="000F6194" w:rsidRPr="00AE4CD6">
        <w:rPr>
          <w:rFonts w:cstheme="minorHAnsi"/>
        </w:rPr>
        <w:t xml:space="preserve"> those whose original funding would have </w:t>
      </w:r>
      <w:r w:rsidR="00AE4CD6">
        <w:rPr>
          <w:rFonts w:cstheme="minorHAnsi"/>
        </w:rPr>
        <w:t>ended</w:t>
      </w:r>
      <w:r w:rsidR="000F6194" w:rsidRPr="00AE4CD6">
        <w:rPr>
          <w:rFonts w:cstheme="minorHAnsi"/>
        </w:rPr>
        <w:t xml:space="preserve"> on or before 31 March 2021</w:t>
      </w:r>
      <w:r w:rsidR="00857EE0" w:rsidRPr="00AE4CD6">
        <w:rPr>
          <w:rFonts w:cstheme="minorHAnsi"/>
        </w:rPr>
        <w:t>,</w:t>
      </w:r>
      <w:r w:rsidR="000F6194" w:rsidRPr="00AE4CD6">
        <w:rPr>
          <w:rFonts w:cstheme="minorHAnsi"/>
        </w:rPr>
        <w:t xml:space="preserve"> but who have interrupted/</w:t>
      </w:r>
      <w:proofErr w:type="gramStart"/>
      <w:r w:rsidR="00F01F37">
        <w:rPr>
          <w:rFonts w:cstheme="minorHAnsi"/>
        </w:rPr>
        <w:t xml:space="preserve">intermitted </w:t>
      </w:r>
      <w:r w:rsidR="000F6194" w:rsidRPr="00AE4CD6">
        <w:rPr>
          <w:rFonts w:cstheme="minorHAnsi"/>
        </w:rPr>
        <w:t xml:space="preserve"> their</w:t>
      </w:r>
      <w:proofErr w:type="gramEnd"/>
      <w:r w:rsidR="000F6194" w:rsidRPr="00AE4CD6">
        <w:rPr>
          <w:rFonts w:cstheme="minorHAnsi"/>
        </w:rPr>
        <w:t xml:space="preserve"> </w:t>
      </w:r>
      <w:r w:rsidR="00857EE0" w:rsidRPr="00AE4CD6">
        <w:rPr>
          <w:rFonts w:cstheme="minorHAnsi"/>
        </w:rPr>
        <w:t xml:space="preserve">period of study and whose funding now ends after 31 March 2021; they should refer to </w:t>
      </w:r>
      <w:r w:rsidR="00857EE0" w:rsidRPr="00AE4CD6">
        <w:rPr>
          <w:rFonts w:cstheme="minorHAnsi"/>
          <w:b/>
          <w:bCs/>
        </w:rPr>
        <w:t>Section 2</w:t>
      </w:r>
      <w:r w:rsidR="00857EE0" w:rsidRPr="00AE4CD6">
        <w:rPr>
          <w:rFonts w:cstheme="minorHAnsi"/>
        </w:rPr>
        <w:t>.</w:t>
      </w:r>
    </w:p>
    <w:p w14:paraId="57C62E8F" w14:textId="77777777" w:rsidR="00FF1CCA" w:rsidRPr="00AE4CD6" w:rsidRDefault="00D21841" w:rsidP="0067051D">
      <w:pPr>
        <w:pStyle w:val="ListParagraph"/>
        <w:numPr>
          <w:ilvl w:val="1"/>
          <w:numId w:val="15"/>
        </w:numPr>
        <w:spacing w:before="120" w:after="120"/>
        <w:ind w:left="851" w:hanging="425"/>
        <w:contextualSpacing w:val="0"/>
        <w:rPr>
          <w:rFonts w:cstheme="minorHAnsi"/>
        </w:rPr>
      </w:pPr>
      <w:r w:rsidRPr="00AE4CD6">
        <w:rPr>
          <w:rFonts w:cstheme="minorHAnsi"/>
        </w:rPr>
        <w:t xml:space="preserve">Longer extensions will </w:t>
      </w:r>
      <w:r w:rsidR="00FF4B92" w:rsidRPr="00AE4CD6">
        <w:rPr>
          <w:rFonts w:cstheme="minorHAnsi"/>
        </w:rPr>
        <w:t xml:space="preserve">not be funded by UKRI. In </w:t>
      </w:r>
      <w:r w:rsidR="00FF4B92" w:rsidRPr="00AE4CD6">
        <w:rPr>
          <w:rFonts w:cstheme="minorHAnsi"/>
          <w:i/>
          <w:iCs/>
        </w:rPr>
        <w:t>exceptional</w:t>
      </w:r>
      <w:r w:rsidR="00FF4B92" w:rsidRPr="00AE4CD6">
        <w:rPr>
          <w:rFonts w:cstheme="minorHAnsi"/>
        </w:rPr>
        <w:t xml:space="preserve"> cases an appeal</w:t>
      </w:r>
      <w:r w:rsidR="002C140B" w:rsidRPr="00AE4CD6">
        <w:rPr>
          <w:rFonts w:cstheme="minorHAnsi"/>
        </w:rPr>
        <w:t xml:space="preserve"> can</w:t>
      </w:r>
      <w:r w:rsidR="00FF4B92" w:rsidRPr="00AE4CD6">
        <w:rPr>
          <w:rFonts w:cstheme="minorHAnsi"/>
        </w:rPr>
        <w:t xml:space="preserve"> be made to </w:t>
      </w:r>
      <w:r w:rsidRPr="00AE4CD6">
        <w:rPr>
          <w:rFonts w:cstheme="minorHAnsi"/>
        </w:rPr>
        <w:t xml:space="preserve">the DTP </w:t>
      </w:r>
      <w:r w:rsidR="00EB6332" w:rsidRPr="00AE4CD6">
        <w:rPr>
          <w:rFonts w:cstheme="minorHAnsi"/>
        </w:rPr>
        <w:t xml:space="preserve">to fund </w:t>
      </w:r>
      <w:r w:rsidR="00FF4B92" w:rsidRPr="00AE4CD6">
        <w:rPr>
          <w:rFonts w:cstheme="minorHAnsi"/>
        </w:rPr>
        <w:t xml:space="preserve">a longer </w:t>
      </w:r>
      <w:r w:rsidR="008F3421" w:rsidRPr="00AE4CD6">
        <w:rPr>
          <w:rFonts w:cstheme="minorHAnsi"/>
        </w:rPr>
        <w:t>extension, but a compelling case would need to be presented</w:t>
      </w:r>
      <w:r w:rsidR="00857EE0" w:rsidRPr="00AE4CD6">
        <w:rPr>
          <w:rFonts w:cstheme="minorHAnsi"/>
        </w:rPr>
        <w:t xml:space="preserve"> as DTP resources are limited.</w:t>
      </w:r>
    </w:p>
    <w:p w14:paraId="68F4F851" w14:textId="2EB8AA9B" w:rsidR="008F3421" w:rsidRPr="00AE4CD6" w:rsidRDefault="00FF1CCA" w:rsidP="0067051D">
      <w:pPr>
        <w:pStyle w:val="ListParagraph"/>
        <w:numPr>
          <w:ilvl w:val="1"/>
          <w:numId w:val="15"/>
        </w:numPr>
        <w:spacing w:before="120" w:after="120"/>
        <w:ind w:left="851" w:hanging="425"/>
        <w:contextualSpacing w:val="0"/>
        <w:rPr>
          <w:rFonts w:cstheme="minorHAnsi"/>
        </w:rPr>
      </w:pPr>
      <w:r w:rsidRPr="00AE4CD6">
        <w:rPr>
          <w:rFonts w:cstheme="minorHAnsi"/>
        </w:rPr>
        <w:t>Where a Studentship is co</w:t>
      </w:r>
      <w:r w:rsidR="002C140B" w:rsidRPr="00AE4CD6">
        <w:rPr>
          <w:rFonts w:cstheme="minorHAnsi"/>
        </w:rPr>
        <w:t>-</w:t>
      </w:r>
      <w:r w:rsidRPr="00AE4CD6">
        <w:rPr>
          <w:rFonts w:cstheme="minorHAnsi"/>
        </w:rPr>
        <w:t xml:space="preserve">funded by an HEI, research organisation, or other external body, then </w:t>
      </w:r>
      <w:r w:rsidR="00AE4CD6">
        <w:rPr>
          <w:rFonts w:cstheme="minorHAnsi"/>
        </w:rPr>
        <w:t xml:space="preserve">UKRI </w:t>
      </w:r>
      <w:r w:rsidR="005943E4">
        <w:rPr>
          <w:rFonts w:cstheme="minorHAnsi"/>
        </w:rPr>
        <w:t xml:space="preserve">expresses </w:t>
      </w:r>
      <w:r w:rsidR="000479D5">
        <w:rPr>
          <w:rFonts w:cstheme="minorHAnsi"/>
        </w:rPr>
        <w:t>the</w:t>
      </w:r>
      <w:r w:rsidR="005943E4">
        <w:rPr>
          <w:rFonts w:cstheme="minorHAnsi"/>
        </w:rPr>
        <w:t xml:space="preserve"> hope that</w:t>
      </w:r>
      <w:r w:rsidR="00AE4CD6">
        <w:rPr>
          <w:rFonts w:cstheme="minorHAnsi"/>
        </w:rPr>
        <w:t xml:space="preserve"> </w:t>
      </w:r>
      <w:r w:rsidRPr="00AE4CD6">
        <w:rPr>
          <w:rFonts w:cstheme="minorHAnsi"/>
        </w:rPr>
        <w:t xml:space="preserve">the cost of the extension </w:t>
      </w:r>
      <w:r w:rsidR="005943E4">
        <w:rPr>
          <w:rFonts w:cstheme="minorHAnsi"/>
        </w:rPr>
        <w:t>will</w:t>
      </w:r>
      <w:r w:rsidRPr="00AE4CD6">
        <w:rPr>
          <w:rFonts w:cstheme="minorHAnsi"/>
        </w:rPr>
        <w:t xml:space="preserve"> be split between UKRI and the co-</w:t>
      </w:r>
      <w:proofErr w:type="spellStart"/>
      <w:r w:rsidRPr="00AE4CD6">
        <w:rPr>
          <w:rFonts w:cstheme="minorHAnsi"/>
        </w:rPr>
        <w:t>funder</w:t>
      </w:r>
      <w:proofErr w:type="spellEnd"/>
      <w:r w:rsidR="00AE4CD6">
        <w:rPr>
          <w:rFonts w:cstheme="minorHAnsi"/>
        </w:rPr>
        <w:t>,</w:t>
      </w:r>
      <w:r w:rsidRPr="00AE4CD6">
        <w:rPr>
          <w:rFonts w:cstheme="minorHAnsi"/>
        </w:rPr>
        <w:t xml:space="preserve"> pro rata to the proportion of</w:t>
      </w:r>
      <w:r w:rsidR="00EB6332" w:rsidRPr="00AE4CD6">
        <w:rPr>
          <w:rFonts w:cstheme="minorHAnsi"/>
        </w:rPr>
        <w:t xml:space="preserve"> their</w:t>
      </w:r>
      <w:r w:rsidRPr="00AE4CD6">
        <w:rPr>
          <w:rFonts w:cstheme="minorHAnsi"/>
        </w:rPr>
        <w:t xml:space="preserve"> co-</w:t>
      </w:r>
      <w:r w:rsidRPr="00AE4CD6">
        <w:rPr>
          <w:rFonts w:cstheme="minorHAnsi"/>
        </w:rPr>
        <w:lastRenderedPageBreak/>
        <w:t xml:space="preserve">funding. This </w:t>
      </w:r>
      <w:r w:rsidR="00857EE0" w:rsidRPr="00AE4CD6">
        <w:rPr>
          <w:rFonts w:cstheme="minorHAnsi"/>
        </w:rPr>
        <w:t>is to</w:t>
      </w:r>
      <w:r w:rsidRPr="00AE4CD6">
        <w:rPr>
          <w:rFonts w:cstheme="minorHAnsi"/>
        </w:rPr>
        <w:t xml:space="preserve"> be negotiated between the DTP and the partner.</w:t>
      </w:r>
      <w:r w:rsidR="00AE4CD6">
        <w:rPr>
          <w:rFonts w:cstheme="minorHAnsi"/>
        </w:rPr>
        <w:t xml:space="preserve"> The above </w:t>
      </w:r>
      <w:r w:rsidR="00F01F37">
        <w:rPr>
          <w:rFonts w:cstheme="minorHAnsi"/>
        </w:rPr>
        <w:t>principles</w:t>
      </w:r>
      <w:r w:rsidR="00AE4CD6">
        <w:rPr>
          <w:rFonts w:cstheme="minorHAnsi"/>
        </w:rPr>
        <w:t xml:space="preserve"> of no detriment and no disadvantage will be </w:t>
      </w:r>
      <w:r w:rsidR="0018763A">
        <w:rPr>
          <w:rFonts w:cstheme="minorHAnsi"/>
        </w:rPr>
        <w:t>followed</w:t>
      </w:r>
      <w:r w:rsidR="00AE4CD6">
        <w:rPr>
          <w:rFonts w:cstheme="minorHAnsi"/>
        </w:rPr>
        <w:t xml:space="preserve"> by the DTP.</w:t>
      </w:r>
    </w:p>
    <w:p w14:paraId="18E72980" w14:textId="77777777" w:rsidR="008F3421" w:rsidRPr="00AE4CD6" w:rsidRDefault="008F3421" w:rsidP="00B22BDD">
      <w:pPr>
        <w:spacing w:before="120" w:after="120"/>
        <w:rPr>
          <w:rFonts w:asciiTheme="minorHAnsi" w:hAnsiTheme="minorHAnsi" w:cstheme="minorHAnsi"/>
        </w:rPr>
      </w:pPr>
      <w:r w:rsidRPr="00AE4CD6">
        <w:rPr>
          <w:rFonts w:asciiTheme="minorHAnsi" w:hAnsiTheme="minorHAnsi" w:cstheme="minorHAnsi"/>
        </w:rPr>
        <w:t xml:space="preserve">A set of FAQs on </w:t>
      </w:r>
      <w:r w:rsidR="00EB6332" w:rsidRPr="00AE4CD6">
        <w:rPr>
          <w:rFonts w:asciiTheme="minorHAnsi" w:hAnsiTheme="minorHAnsi" w:cstheme="minorHAnsi"/>
        </w:rPr>
        <w:t>the UKRI</w:t>
      </w:r>
      <w:r w:rsidRPr="00AE4CD6">
        <w:rPr>
          <w:rFonts w:asciiTheme="minorHAnsi" w:hAnsiTheme="minorHAnsi" w:cstheme="minorHAnsi"/>
        </w:rPr>
        <w:t xml:space="preserve"> scheme are available here: </w:t>
      </w:r>
      <w:hyperlink r:id="rId8" w:history="1">
        <w:r w:rsidRPr="00AE4CD6">
          <w:rPr>
            <w:rStyle w:val="Hyperlink"/>
            <w:rFonts w:asciiTheme="minorHAnsi" w:hAnsiTheme="minorHAnsi" w:cstheme="minorHAnsi"/>
          </w:rPr>
          <w:t>https://www.ukri.org/files/funding/q-a-for-phd-students/</w:t>
        </w:r>
      </w:hyperlink>
      <w:r w:rsidR="002C140B" w:rsidRPr="00AE4CD6">
        <w:rPr>
          <w:rFonts w:asciiTheme="minorHAnsi" w:hAnsiTheme="minorHAnsi" w:cstheme="minorHAnsi"/>
        </w:rPr>
        <w:t>.</w:t>
      </w:r>
    </w:p>
    <w:p w14:paraId="772FC074" w14:textId="77777777" w:rsidR="00D21841" w:rsidRPr="00AE4CD6" w:rsidRDefault="008F3421" w:rsidP="006D1BCF">
      <w:pPr>
        <w:pStyle w:val="ListParagraph"/>
        <w:numPr>
          <w:ilvl w:val="0"/>
          <w:numId w:val="15"/>
        </w:numPr>
        <w:spacing w:before="120" w:after="120"/>
        <w:ind w:left="426" w:hanging="426"/>
        <w:contextualSpacing w:val="0"/>
        <w:rPr>
          <w:rFonts w:cstheme="minorHAnsi"/>
          <w:b/>
          <w:bCs/>
        </w:rPr>
      </w:pPr>
      <w:r w:rsidRPr="00AE4CD6">
        <w:rPr>
          <w:rFonts w:cstheme="minorHAnsi"/>
          <w:b/>
          <w:bCs/>
        </w:rPr>
        <w:t>PGRs whose funded period ends after 31</w:t>
      </w:r>
      <w:r w:rsidRPr="00AE4CD6">
        <w:rPr>
          <w:rFonts w:cstheme="minorHAnsi"/>
          <w:b/>
          <w:bCs/>
          <w:vertAlign w:val="superscript"/>
        </w:rPr>
        <w:t>st</w:t>
      </w:r>
      <w:r w:rsidRPr="00AE4CD6">
        <w:rPr>
          <w:rFonts w:cstheme="minorHAnsi"/>
          <w:b/>
          <w:bCs/>
        </w:rPr>
        <w:t xml:space="preserve"> March 2021</w:t>
      </w:r>
    </w:p>
    <w:p w14:paraId="7DF721BD" w14:textId="63075BCE" w:rsidR="002528A1" w:rsidRPr="00AE4CD6" w:rsidRDefault="00D21841" w:rsidP="00857EE0">
      <w:pPr>
        <w:spacing w:before="120" w:after="120"/>
        <w:rPr>
          <w:rFonts w:asciiTheme="minorHAnsi" w:hAnsiTheme="minorHAnsi" w:cstheme="minorHAnsi"/>
        </w:rPr>
      </w:pPr>
      <w:r w:rsidRPr="00AE4CD6">
        <w:rPr>
          <w:rFonts w:asciiTheme="minorHAnsi" w:hAnsiTheme="minorHAnsi" w:cstheme="minorHAnsi"/>
        </w:rPr>
        <w:t xml:space="preserve">UKRI </w:t>
      </w:r>
      <w:r w:rsidR="00FF1CCA" w:rsidRPr="00AE4CD6">
        <w:rPr>
          <w:rFonts w:asciiTheme="minorHAnsi" w:hAnsiTheme="minorHAnsi" w:cstheme="minorHAnsi"/>
        </w:rPr>
        <w:t>have undertaken to</w:t>
      </w:r>
      <w:r w:rsidRPr="00AE4CD6">
        <w:rPr>
          <w:rFonts w:asciiTheme="minorHAnsi" w:hAnsiTheme="minorHAnsi" w:cstheme="minorHAnsi"/>
        </w:rPr>
        <w:t xml:space="preserve"> review the</w:t>
      </w:r>
      <w:r w:rsidR="00FF1CCA" w:rsidRPr="00AE4CD6">
        <w:rPr>
          <w:rFonts w:asciiTheme="minorHAnsi" w:hAnsiTheme="minorHAnsi" w:cstheme="minorHAnsi"/>
        </w:rPr>
        <w:t xml:space="preserve">ir current policy on extensions </w:t>
      </w:r>
      <w:r w:rsidRPr="00AE4CD6">
        <w:rPr>
          <w:rFonts w:asciiTheme="minorHAnsi" w:hAnsiTheme="minorHAnsi" w:cstheme="minorHAnsi"/>
        </w:rPr>
        <w:t>in</w:t>
      </w:r>
      <w:r w:rsidR="00FF1CCA" w:rsidRPr="00AE4CD6">
        <w:rPr>
          <w:rFonts w:asciiTheme="minorHAnsi" w:hAnsiTheme="minorHAnsi" w:cstheme="minorHAnsi"/>
        </w:rPr>
        <w:t xml:space="preserve"> the</w:t>
      </w:r>
      <w:r w:rsidRPr="00AE4CD6">
        <w:rPr>
          <w:rFonts w:asciiTheme="minorHAnsi" w:hAnsiTheme="minorHAnsi" w:cstheme="minorHAnsi"/>
        </w:rPr>
        <w:t xml:space="preserve"> </w:t>
      </w:r>
      <w:r w:rsidR="00FF1CCA" w:rsidRPr="00AE4CD6">
        <w:rPr>
          <w:rFonts w:asciiTheme="minorHAnsi" w:hAnsiTheme="minorHAnsi" w:cstheme="minorHAnsi"/>
        </w:rPr>
        <w:t>summer of 2020</w:t>
      </w:r>
      <w:r w:rsidRPr="00AE4CD6">
        <w:rPr>
          <w:rFonts w:asciiTheme="minorHAnsi" w:hAnsiTheme="minorHAnsi" w:cstheme="minorHAnsi"/>
        </w:rPr>
        <w:t xml:space="preserve">, </w:t>
      </w:r>
      <w:r w:rsidR="004F7B0E" w:rsidRPr="00AE4CD6">
        <w:rPr>
          <w:rFonts w:asciiTheme="minorHAnsi" w:hAnsiTheme="minorHAnsi" w:cstheme="minorHAnsi"/>
        </w:rPr>
        <w:t>including</w:t>
      </w:r>
      <w:r w:rsidRPr="00AE4CD6">
        <w:rPr>
          <w:rFonts w:asciiTheme="minorHAnsi" w:hAnsiTheme="minorHAnsi" w:cstheme="minorHAnsi"/>
        </w:rPr>
        <w:t xml:space="preserve"> </w:t>
      </w:r>
      <w:r w:rsidR="00FF1CCA" w:rsidRPr="00AE4CD6">
        <w:rPr>
          <w:rFonts w:asciiTheme="minorHAnsi" w:hAnsiTheme="minorHAnsi" w:cstheme="minorHAnsi"/>
        </w:rPr>
        <w:t xml:space="preserve">possible </w:t>
      </w:r>
      <w:r w:rsidR="00857EE0" w:rsidRPr="00AE4CD6">
        <w:rPr>
          <w:rFonts w:asciiTheme="minorHAnsi" w:hAnsiTheme="minorHAnsi" w:cstheme="minorHAnsi"/>
        </w:rPr>
        <w:t xml:space="preserve">financial </w:t>
      </w:r>
      <w:r w:rsidR="00FF1CCA" w:rsidRPr="00AE4CD6">
        <w:rPr>
          <w:rFonts w:asciiTheme="minorHAnsi" w:hAnsiTheme="minorHAnsi" w:cstheme="minorHAnsi"/>
        </w:rPr>
        <w:t>provision</w:t>
      </w:r>
      <w:r w:rsidRPr="00AE4CD6">
        <w:rPr>
          <w:rFonts w:asciiTheme="minorHAnsi" w:hAnsiTheme="minorHAnsi" w:cstheme="minorHAnsi"/>
        </w:rPr>
        <w:t xml:space="preserve"> </w:t>
      </w:r>
      <w:r w:rsidR="00FF1CCA" w:rsidRPr="00AE4CD6">
        <w:rPr>
          <w:rFonts w:asciiTheme="minorHAnsi" w:hAnsiTheme="minorHAnsi" w:cstheme="minorHAnsi"/>
        </w:rPr>
        <w:t xml:space="preserve">for those </w:t>
      </w:r>
      <w:r w:rsidRPr="00AE4CD6">
        <w:rPr>
          <w:rFonts w:asciiTheme="minorHAnsi" w:hAnsiTheme="minorHAnsi" w:cstheme="minorHAnsi"/>
        </w:rPr>
        <w:t>in earlier years</w:t>
      </w:r>
      <w:r w:rsidR="00FF1CCA" w:rsidRPr="00AE4CD6">
        <w:rPr>
          <w:rFonts w:asciiTheme="minorHAnsi" w:hAnsiTheme="minorHAnsi" w:cstheme="minorHAnsi"/>
        </w:rPr>
        <w:t xml:space="preserve"> of study</w:t>
      </w:r>
      <w:r w:rsidRPr="00AE4CD6">
        <w:rPr>
          <w:rFonts w:asciiTheme="minorHAnsi" w:hAnsiTheme="minorHAnsi" w:cstheme="minorHAnsi"/>
        </w:rPr>
        <w:t xml:space="preserve">. </w:t>
      </w:r>
      <w:r w:rsidR="004F7B0E" w:rsidRPr="00AE4CD6">
        <w:rPr>
          <w:rFonts w:asciiTheme="minorHAnsi" w:hAnsiTheme="minorHAnsi" w:cstheme="minorHAnsi"/>
        </w:rPr>
        <w:t>Meanwhile</w:t>
      </w:r>
      <w:r w:rsidRPr="00AE4CD6">
        <w:rPr>
          <w:rFonts w:asciiTheme="minorHAnsi" w:hAnsiTheme="minorHAnsi" w:cstheme="minorHAnsi"/>
        </w:rPr>
        <w:t xml:space="preserve">, any </w:t>
      </w:r>
      <w:r w:rsidR="00FF1CCA" w:rsidRPr="00AE4CD6">
        <w:rPr>
          <w:rFonts w:asciiTheme="minorHAnsi" w:hAnsiTheme="minorHAnsi" w:cstheme="minorHAnsi"/>
        </w:rPr>
        <w:t xml:space="preserve">such </w:t>
      </w:r>
      <w:r w:rsidRPr="00AE4CD6">
        <w:rPr>
          <w:rFonts w:asciiTheme="minorHAnsi" w:hAnsiTheme="minorHAnsi" w:cstheme="minorHAnsi"/>
        </w:rPr>
        <w:t xml:space="preserve">provision </w:t>
      </w:r>
      <w:r w:rsidR="00FF1CCA" w:rsidRPr="00AE4CD6">
        <w:rPr>
          <w:rFonts w:asciiTheme="minorHAnsi" w:hAnsiTheme="minorHAnsi" w:cstheme="minorHAnsi"/>
        </w:rPr>
        <w:t>is</w:t>
      </w:r>
      <w:r w:rsidRPr="00AE4CD6">
        <w:rPr>
          <w:rFonts w:asciiTheme="minorHAnsi" w:hAnsiTheme="minorHAnsi" w:cstheme="minorHAnsi"/>
        </w:rPr>
        <w:t xml:space="preserve"> the responsibility of the DTP</w:t>
      </w:r>
      <w:r w:rsidR="00FF1CCA" w:rsidRPr="00AE4CD6">
        <w:rPr>
          <w:rFonts w:asciiTheme="minorHAnsi" w:hAnsiTheme="minorHAnsi" w:cstheme="minorHAnsi"/>
        </w:rPr>
        <w:t xml:space="preserve">, and </w:t>
      </w:r>
      <w:r w:rsidR="00EB6332" w:rsidRPr="00AE4CD6">
        <w:rPr>
          <w:rFonts w:asciiTheme="minorHAnsi" w:hAnsiTheme="minorHAnsi" w:cstheme="minorHAnsi"/>
        </w:rPr>
        <w:t xml:space="preserve">the current approach </w:t>
      </w:r>
      <w:r w:rsidR="00857EE0" w:rsidRPr="00AE4CD6">
        <w:rPr>
          <w:rFonts w:asciiTheme="minorHAnsi" w:hAnsiTheme="minorHAnsi" w:cstheme="minorHAnsi"/>
        </w:rPr>
        <w:t xml:space="preserve">we </w:t>
      </w:r>
      <w:r w:rsidR="00EB6332" w:rsidRPr="00AE4CD6">
        <w:rPr>
          <w:rFonts w:asciiTheme="minorHAnsi" w:hAnsiTheme="minorHAnsi" w:cstheme="minorHAnsi"/>
        </w:rPr>
        <w:t>envisage is</w:t>
      </w:r>
      <w:r w:rsidR="00FF1CCA" w:rsidRPr="00AE4CD6">
        <w:rPr>
          <w:rFonts w:asciiTheme="minorHAnsi" w:hAnsiTheme="minorHAnsi" w:cstheme="minorHAnsi"/>
        </w:rPr>
        <w:t xml:space="preserve"> outlined </w:t>
      </w:r>
      <w:r w:rsidR="00857EE0" w:rsidRPr="00AE4CD6">
        <w:rPr>
          <w:rFonts w:asciiTheme="minorHAnsi" w:hAnsiTheme="minorHAnsi" w:cstheme="minorHAnsi"/>
        </w:rPr>
        <w:t xml:space="preserve">below, but is </w:t>
      </w:r>
      <w:r w:rsidR="00857EE0" w:rsidRPr="00AE4CD6">
        <w:rPr>
          <w:rFonts w:asciiTheme="minorHAnsi" w:hAnsiTheme="minorHAnsi" w:cstheme="minorHAnsi"/>
          <w:b/>
          <w:bCs/>
        </w:rPr>
        <w:t>subject to change</w:t>
      </w:r>
      <w:r w:rsidR="00857EE0" w:rsidRPr="00AE4CD6">
        <w:rPr>
          <w:rFonts w:asciiTheme="minorHAnsi" w:hAnsiTheme="minorHAnsi" w:cstheme="minorHAnsi"/>
        </w:rPr>
        <w:t xml:space="preserve"> as further announcement</w:t>
      </w:r>
      <w:r w:rsidR="0018763A">
        <w:rPr>
          <w:rFonts w:asciiTheme="minorHAnsi" w:hAnsiTheme="minorHAnsi" w:cstheme="minorHAnsi"/>
        </w:rPr>
        <w:t>s</w:t>
      </w:r>
      <w:r w:rsidR="00857EE0" w:rsidRPr="00AE4CD6">
        <w:rPr>
          <w:rFonts w:asciiTheme="minorHAnsi" w:hAnsiTheme="minorHAnsi" w:cstheme="minorHAnsi"/>
        </w:rPr>
        <w:t xml:space="preserve"> from UKRI are made</w:t>
      </w:r>
      <w:r w:rsidRPr="00AE4CD6">
        <w:rPr>
          <w:rFonts w:asciiTheme="minorHAnsi" w:hAnsiTheme="minorHAnsi" w:cstheme="minorHAnsi"/>
        </w:rPr>
        <w:t>.</w:t>
      </w:r>
    </w:p>
    <w:p w14:paraId="0CD65CC1" w14:textId="77777777" w:rsidR="004647E1" w:rsidRPr="00AE4CD6" w:rsidRDefault="004647E1" w:rsidP="006D1BCF">
      <w:pPr>
        <w:pStyle w:val="ListParagraph"/>
        <w:numPr>
          <w:ilvl w:val="1"/>
          <w:numId w:val="15"/>
        </w:numPr>
        <w:spacing w:before="120" w:after="120"/>
        <w:ind w:left="851" w:hanging="425"/>
        <w:contextualSpacing w:val="0"/>
        <w:rPr>
          <w:rFonts w:cstheme="minorHAnsi"/>
        </w:rPr>
      </w:pPr>
      <w:r w:rsidRPr="00AE4CD6">
        <w:rPr>
          <w:rFonts w:cstheme="minorHAnsi"/>
        </w:rPr>
        <w:t>All extension requests will be considered on a case-by-case basis</w:t>
      </w:r>
      <w:r w:rsidR="002C140B" w:rsidRPr="00AE4CD6">
        <w:rPr>
          <w:rFonts w:cstheme="minorHAnsi"/>
        </w:rPr>
        <w:t>.</w:t>
      </w:r>
    </w:p>
    <w:p w14:paraId="16B10CCA" w14:textId="77777777" w:rsidR="001C2309" w:rsidRPr="00AE4CD6" w:rsidRDefault="001C2309" w:rsidP="006D1BCF">
      <w:pPr>
        <w:pStyle w:val="ListParagraph"/>
        <w:numPr>
          <w:ilvl w:val="1"/>
          <w:numId w:val="15"/>
        </w:numPr>
        <w:spacing w:before="120" w:after="120"/>
        <w:ind w:left="851" w:hanging="425"/>
        <w:contextualSpacing w:val="0"/>
        <w:rPr>
          <w:rFonts w:cstheme="minorHAnsi"/>
        </w:rPr>
      </w:pPr>
      <w:r w:rsidRPr="00AE4CD6">
        <w:rPr>
          <w:rFonts w:cstheme="minorHAnsi"/>
        </w:rPr>
        <w:t xml:space="preserve">The DTP notes that it has finite funds and asks that </w:t>
      </w:r>
      <w:r w:rsidR="00CB15B3" w:rsidRPr="00AE4CD6">
        <w:rPr>
          <w:rFonts w:cstheme="minorHAnsi"/>
        </w:rPr>
        <w:t xml:space="preserve">extensions are </w:t>
      </w:r>
      <w:r w:rsidR="004647E1" w:rsidRPr="00AE4CD6">
        <w:rPr>
          <w:rFonts w:cstheme="minorHAnsi"/>
        </w:rPr>
        <w:t>only request</w:t>
      </w:r>
      <w:r w:rsidR="00CB15B3" w:rsidRPr="00AE4CD6">
        <w:rPr>
          <w:rFonts w:cstheme="minorHAnsi"/>
        </w:rPr>
        <w:t xml:space="preserve">ed </w:t>
      </w:r>
      <w:r w:rsidR="004647E1" w:rsidRPr="00AE4CD6">
        <w:rPr>
          <w:rFonts w:cstheme="minorHAnsi"/>
        </w:rPr>
        <w:t xml:space="preserve">where needed, and </w:t>
      </w:r>
      <w:r w:rsidR="00FB089C" w:rsidRPr="00AE4CD6">
        <w:rPr>
          <w:rFonts w:cstheme="minorHAnsi"/>
        </w:rPr>
        <w:t>for</w:t>
      </w:r>
      <w:r w:rsidR="004647E1" w:rsidRPr="00AE4CD6">
        <w:rPr>
          <w:rFonts w:cstheme="minorHAnsi"/>
        </w:rPr>
        <w:t xml:space="preserve"> the minimum duration </w:t>
      </w:r>
      <w:r w:rsidR="002C140B" w:rsidRPr="00AE4CD6">
        <w:rPr>
          <w:rFonts w:cstheme="minorHAnsi"/>
        </w:rPr>
        <w:t>necessary</w:t>
      </w:r>
      <w:r w:rsidR="00CE5FB6" w:rsidRPr="00AE4CD6">
        <w:rPr>
          <w:rFonts w:cstheme="minorHAnsi"/>
        </w:rPr>
        <w:t xml:space="preserve"> </w:t>
      </w:r>
      <w:r w:rsidR="004647E1" w:rsidRPr="00AE4CD6">
        <w:rPr>
          <w:rFonts w:cstheme="minorHAnsi"/>
        </w:rPr>
        <w:t xml:space="preserve">to complete such studies as necessary for submission of a </w:t>
      </w:r>
      <w:r w:rsidR="004647E1" w:rsidRPr="00AE4CD6">
        <w:rPr>
          <w:rFonts w:cstheme="minorHAnsi"/>
          <w:i/>
          <w:iCs/>
        </w:rPr>
        <w:t xml:space="preserve">suitable and </w:t>
      </w:r>
      <w:proofErr w:type="gramStart"/>
      <w:r w:rsidR="004647E1" w:rsidRPr="00AE4CD6">
        <w:rPr>
          <w:rFonts w:cstheme="minorHAnsi"/>
          <w:i/>
          <w:iCs/>
        </w:rPr>
        <w:t>sufficient</w:t>
      </w:r>
      <w:proofErr w:type="gramEnd"/>
      <w:r w:rsidR="004647E1" w:rsidRPr="00AE4CD6">
        <w:rPr>
          <w:rFonts w:cstheme="minorHAnsi"/>
          <w:i/>
          <w:iCs/>
        </w:rPr>
        <w:t xml:space="preserve"> thesis</w:t>
      </w:r>
      <w:r w:rsidR="00FB089C" w:rsidRPr="00AE4CD6">
        <w:rPr>
          <w:rFonts w:cstheme="minorHAnsi"/>
        </w:rPr>
        <w:t>. A narrative on how options to rationalise, realign, and reschedule work were explored will be required as part of the extension application.</w:t>
      </w:r>
    </w:p>
    <w:p w14:paraId="21446F76" w14:textId="77777777" w:rsidR="004647E1" w:rsidRPr="00AE4CD6" w:rsidRDefault="004647E1" w:rsidP="006D1BCF">
      <w:pPr>
        <w:pStyle w:val="ListParagraph"/>
        <w:numPr>
          <w:ilvl w:val="1"/>
          <w:numId w:val="15"/>
        </w:numPr>
        <w:spacing w:before="120" w:after="120"/>
        <w:ind w:left="851" w:hanging="425"/>
        <w:contextualSpacing w:val="0"/>
        <w:rPr>
          <w:rFonts w:cstheme="minorHAnsi"/>
        </w:rPr>
      </w:pPr>
      <w:r w:rsidRPr="00AE4CD6">
        <w:rPr>
          <w:rFonts w:cstheme="minorHAnsi"/>
        </w:rPr>
        <w:t xml:space="preserve">The </w:t>
      </w:r>
      <w:r w:rsidRPr="00AE4CD6">
        <w:rPr>
          <w:rFonts w:cstheme="minorHAnsi"/>
          <w:b/>
          <w:bCs/>
        </w:rPr>
        <w:t>maximum</w:t>
      </w:r>
      <w:r w:rsidRPr="00AE4CD6">
        <w:rPr>
          <w:rFonts w:cstheme="minorHAnsi"/>
        </w:rPr>
        <w:t xml:space="preserve"> extension will be six months unless there are </w:t>
      </w:r>
      <w:r w:rsidRPr="00AE4CD6">
        <w:rPr>
          <w:rFonts w:cstheme="minorHAnsi"/>
          <w:i/>
          <w:iCs/>
        </w:rPr>
        <w:t>exceptional</w:t>
      </w:r>
      <w:r w:rsidRPr="00AE4CD6">
        <w:rPr>
          <w:rFonts w:cstheme="minorHAnsi"/>
        </w:rPr>
        <w:t xml:space="preserve"> circumstances</w:t>
      </w:r>
      <w:r w:rsidR="00857EE0" w:rsidRPr="00AE4CD6">
        <w:rPr>
          <w:rFonts w:cstheme="minorHAnsi"/>
        </w:rPr>
        <w:t>; the DTP has limited resources.</w:t>
      </w:r>
    </w:p>
    <w:p w14:paraId="5974BFAF" w14:textId="3D7D60D2" w:rsidR="00DF139A" w:rsidRPr="004F3820" w:rsidRDefault="00DF139A" w:rsidP="004F3820">
      <w:pPr>
        <w:pStyle w:val="ListParagraph"/>
        <w:numPr>
          <w:ilvl w:val="1"/>
          <w:numId w:val="15"/>
        </w:numPr>
        <w:ind w:left="851" w:hanging="425"/>
        <w:rPr>
          <w:rFonts w:cstheme="minorHAnsi"/>
          <w:bCs/>
        </w:rPr>
      </w:pPr>
      <w:r w:rsidRPr="0018763A">
        <w:rPr>
          <w:rFonts w:cstheme="minorHAnsi"/>
        </w:rPr>
        <w:t xml:space="preserve">The DTP recognises that delays may be caused not only by cancellation of field work, and lab closures, </w:t>
      </w:r>
      <w:r w:rsidR="00BC292D" w:rsidRPr="0018763A">
        <w:rPr>
          <w:rFonts w:cstheme="minorHAnsi"/>
        </w:rPr>
        <w:t xml:space="preserve">but also </w:t>
      </w:r>
      <w:r w:rsidRPr="0018763A">
        <w:rPr>
          <w:rFonts w:cstheme="minorHAnsi"/>
        </w:rPr>
        <w:t xml:space="preserve">from a variety of causes including wellbeing, mental health, caring responsibilities, </w:t>
      </w:r>
      <w:r w:rsidR="004F3820">
        <w:rPr>
          <w:rFonts w:cstheme="minorHAnsi"/>
        </w:rPr>
        <w:t>etc</w:t>
      </w:r>
      <w:r w:rsidRPr="0018763A">
        <w:rPr>
          <w:rFonts w:cstheme="minorHAnsi"/>
        </w:rPr>
        <w:t xml:space="preserve">. Whilst tangible evidence should be gathered wherever possible, personal statements (supported by supervisors where appropriate) </w:t>
      </w:r>
      <w:r w:rsidR="00857EE0" w:rsidRPr="0018763A">
        <w:rPr>
          <w:rFonts w:cstheme="minorHAnsi"/>
        </w:rPr>
        <w:t>may</w:t>
      </w:r>
      <w:r w:rsidRPr="0018763A">
        <w:rPr>
          <w:rFonts w:cstheme="minorHAnsi"/>
        </w:rPr>
        <w:t xml:space="preserve"> also be used as evidence. </w:t>
      </w:r>
      <w:r w:rsidR="0018763A" w:rsidRPr="0018763A">
        <w:t xml:space="preserve"> </w:t>
      </w:r>
      <w:r w:rsidR="0018763A" w:rsidRPr="0018763A">
        <w:rPr>
          <w:rFonts w:cstheme="minorHAnsi"/>
          <w:bCs/>
        </w:rPr>
        <w:t>The above principles of no detriment and no disadvantage will be followed by the DTP.</w:t>
      </w:r>
    </w:p>
    <w:p w14:paraId="6EEA70CB" w14:textId="77777777" w:rsidR="00DF139A" w:rsidRPr="00AE4CD6" w:rsidRDefault="00DF139A" w:rsidP="006D1BCF">
      <w:pPr>
        <w:pStyle w:val="ListParagraph"/>
        <w:numPr>
          <w:ilvl w:val="1"/>
          <w:numId w:val="15"/>
        </w:numPr>
        <w:spacing w:before="120" w:after="120"/>
        <w:ind w:left="851" w:hanging="425"/>
        <w:contextualSpacing w:val="0"/>
        <w:rPr>
          <w:rFonts w:cstheme="minorHAnsi"/>
        </w:rPr>
      </w:pPr>
      <w:r w:rsidRPr="00AE4CD6">
        <w:rPr>
          <w:rFonts w:cstheme="minorHAnsi"/>
        </w:rPr>
        <w:t xml:space="preserve">The process </w:t>
      </w:r>
      <w:r w:rsidR="00BC292D" w:rsidRPr="00AE4CD6">
        <w:rPr>
          <w:rFonts w:cstheme="minorHAnsi"/>
        </w:rPr>
        <w:t>is</w:t>
      </w:r>
      <w:r w:rsidRPr="00AE4CD6">
        <w:rPr>
          <w:rFonts w:cstheme="minorHAnsi"/>
        </w:rPr>
        <w:t xml:space="preserve"> designed to be administratively </w:t>
      </w:r>
      <w:r w:rsidR="00BC292D" w:rsidRPr="00AE4CD6">
        <w:rPr>
          <w:rFonts w:cstheme="minorHAnsi"/>
        </w:rPr>
        <w:t>light</w:t>
      </w:r>
      <w:r w:rsidRPr="00AE4CD6">
        <w:rPr>
          <w:rFonts w:cstheme="minorHAnsi"/>
        </w:rPr>
        <w:t xml:space="preserve">. Applications will be gathered via a simple online </w:t>
      </w:r>
      <w:proofErr w:type="gramStart"/>
      <w:r w:rsidRPr="00AE4CD6">
        <w:rPr>
          <w:rFonts w:cstheme="minorHAnsi"/>
        </w:rPr>
        <w:t>form, and</w:t>
      </w:r>
      <w:proofErr w:type="gramEnd"/>
      <w:r w:rsidRPr="00AE4CD6">
        <w:rPr>
          <w:rFonts w:cstheme="minorHAnsi"/>
        </w:rPr>
        <w:t xml:space="preserve"> assessed by the DTP Executive Team</w:t>
      </w:r>
      <w:r w:rsidR="00BC292D" w:rsidRPr="00AE4CD6">
        <w:rPr>
          <w:rFonts w:cstheme="minorHAnsi"/>
        </w:rPr>
        <w:t xml:space="preserve"> within three months of application</w:t>
      </w:r>
      <w:r w:rsidRPr="00AE4CD6">
        <w:rPr>
          <w:rFonts w:cstheme="minorHAnsi"/>
        </w:rPr>
        <w:t>.</w:t>
      </w:r>
    </w:p>
    <w:p w14:paraId="32F5FBE1" w14:textId="77777777" w:rsidR="00E12596" w:rsidRPr="00AE4CD6" w:rsidRDefault="00BC292D" w:rsidP="006D1BCF">
      <w:pPr>
        <w:pStyle w:val="ListParagraph"/>
        <w:numPr>
          <w:ilvl w:val="1"/>
          <w:numId w:val="15"/>
        </w:numPr>
        <w:spacing w:before="120" w:after="120"/>
        <w:ind w:left="851" w:hanging="425"/>
        <w:contextualSpacing w:val="0"/>
        <w:rPr>
          <w:rFonts w:cstheme="minorHAnsi"/>
        </w:rPr>
      </w:pPr>
      <w:r w:rsidRPr="00AE4CD6">
        <w:rPr>
          <w:rFonts w:cstheme="minorHAnsi"/>
        </w:rPr>
        <w:t>A</w:t>
      </w:r>
      <w:r w:rsidR="00DF139A" w:rsidRPr="00AE4CD6">
        <w:rPr>
          <w:rFonts w:cstheme="minorHAnsi"/>
        </w:rPr>
        <w:t xml:space="preserve"> call for applications </w:t>
      </w:r>
      <w:r w:rsidRPr="00AE4CD6">
        <w:rPr>
          <w:rFonts w:cstheme="minorHAnsi"/>
        </w:rPr>
        <w:t>will be announced</w:t>
      </w:r>
      <w:r w:rsidR="00DF139A" w:rsidRPr="00AE4CD6">
        <w:rPr>
          <w:rFonts w:cstheme="minorHAnsi"/>
        </w:rPr>
        <w:t xml:space="preserve"> </w:t>
      </w:r>
      <w:r w:rsidR="00052474" w:rsidRPr="00AE4CD6">
        <w:rPr>
          <w:rFonts w:cstheme="minorHAnsi"/>
        </w:rPr>
        <w:t xml:space="preserve">once restrictions on work and travel have been </w:t>
      </w:r>
      <w:r w:rsidR="002C140B" w:rsidRPr="00AE4CD6">
        <w:rPr>
          <w:rFonts w:cstheme="minorHAnsi"/>
        </w:rPr>
        <w:t>lifted</w:t>
      </w:r>
      <w:r w:rsidR="00052474" w:rsidRPr="00AE4CD6">
        <w:rPr>
          <w:rFonts w:cstheme="minorHAnsi"/>
        </w:rPr>
        <w:t xml:space="preserve">, </w:t>
      </w:r>
      <w:r w:rsidR="00052474" w:rsidRPr="00AE4CD6">
        <w:rPr>
          <w:rFonts w:cstheme="minorHAnsi"/>
          <w:b/>
          <w:bCs/>
        </w:rPr>
        <w:t>or</w:t>
      </w:r>
      <w:r w:rsidR="00052474" w:rsidRPr="00AE4CD6">
        <w:rPr>
          <w:rFonts w:cstheme="minorHAnsi"/>
        </w:rPr>
        <w:t xml:space="preserve"> when relevant new guidance is issued by UKRI, </w:t>
      </w:r>
      <w:r w:rsidR="00052474" w:rsidRPr="00AE4CD6">
        <w:rPr>
          <w:rFonts w:cstheme="minorHAnsi"/>
          <w:b/>
          <w:bCs/>
        </w:rPr>
        <w:t>or</w:t>
      </w:r>
      <w:r w:rsidR="00052474" w:rsidRPr="00AE4CD6">
        <w:rPr>
          <w:rFonts w:cstheme="minorHAnsi"/>
        </w:rPr>
        <w:t xml:space="preserve"> by 31 March 2021, </w:t>
      </w:r>
      <w:r w:rsidR="00052474" w:rsidRPr="00AE4CD6">
        <w:rPr>
          <w:rFonts w:cstheme="minorHAnsi"/>
          <w:i/>
          <w:iCs/>
        </w:rPr>
        <w:t>whichever is soonest</w:t>
      </w:r>
      <w:r w:rsidR="00052474" w:rsidRPr="00AE4CD6">
        <w:rPr>
          <w:rFonts w:cstheme="minorHAnsi"/>
        </w:rPr>
        <w:t>.</w:t>
      </w:r>
    </w:p>
    <w:p w14:paraId="21CCC261" w14:textId="4672F20B" w:rsidR="00030E6F" w:rsidRPr="00AE4CD6" w:rsidRDefault="00030E6F" w:rsidP="006D1BCF">
      <w:pPr>
        <w:pStyle w:val="ListParagraph"/>
        <w:numPr>
          <w:ilvl w:val="0"/>
          <w:numId w:val="15"/>
        </w:numPr>
        <w:spacing w:before="120" w:after="120"/>
        <w:ind w:left="426" w:hanging="426"/>
        <w:contextualSpacing w:val="0"/>
        <w:rPr>
          <w:rFonts w:cstheme="minorHAnsi"/>
          <w:b/>
          <w:bCs/>
        </w:rPr>
      </w:pPr>
      <w:r w:rsidRPr="00AE4CD6">
        <w:rPr>
          <w:rFonts w:cstheme="minorHAnsi"/>
          <w:b/>
          <w:bCs/>
        </w:rPr>
        <w:t>Conditions applicable to all</w:t>
      </w:r>
      <w:r w:rsidR="00150801">
        <w:rPr>
          <w:rFonts w:cstheme="minorHAnsi"/>
          <w:b/>
          <w:bCs/>
        </w:rPr>
        <w:t xml:space="preserve"> DTP-funded </w:t>
      </w:r>
      <w:r w:rsidRPr="00AE4CD6">
        <w:rPr>
          <w:rFonts w:cstheme="minorHAnsi"/>
          <w:b/>
          <w:bCs/>
        </w:rPr>
        <w:t>PGRs</w:t>
      </w:r>
    </w:p>
    <w:p w14:paraId="4749BC55" w14:textId="77777777" w:rsidR="009B3345" w:rsidRPr="00AE4CD6" w:rsidRDefault="009B3345" w:rsidP="00AE4CD6">
      <w:pPr>
        <w:pStyle w:val="ListParagraph"/>
        <w:numPr>
          <w:ilvl w:val="1"/>
          <w:numId w:val="15"/>
        </w:numPr>
        <w:spacing w:before="120" w:after="120"/>
        <w:ind w:left="850" w:hanging="425"/>
        <w:contextualSpacing w:val="0"/>
        <w:rPr>
          <w:rFonts w:cstheme="minorHAnsi"/>
        </w:rPr>
      </w:pPr>
      <w:r w:rsidRPr="00AE4CD6">
        <w:rPr>
          <w:rFonts w:cstheme="minorHAnsi"/>
        </w:rPr>
        <w:t xml:space="preserve">We are awaiting further instructions from UKRI, so please do not </w:t>
      </w:r>
      <w:proofErr w:type="gramStart"/>
      <w:r w:rsidRPr="00AE4CD6">
        <w:rPr>
          <w:rFonts w:cstheme="minorHAnsi"/>
        </w:rPr>
        <w:t>submit an application</w:t>
      </w:r>
      <w:proofErr w:type="gramEnd"/>
      <w:r w:rsidRPr="00AE4CD6">
        <w:rPr>
          <w:rFonts w:cstheme="minorHAnsi"/>
        </w:rPr>
        <w:t xml:space="preserve"> until we announce that the application process is open. We hope to do so soon. However, if you are in financial difficulties, please contact the DTP office </w:t>
      </w:r>
      <w:r w:rsidR="00AE4CD6" w:rsidRPr="00AE4CD6">
        <w:rPr>
          <w:rFonts w:cstheme="minorHAnsi"/>
        </w:rPr>
        <w:t xml:space="preserve">immediately </w:t>
      </w:r>
      <w:r w:rsidRPr="00AE4CD6">
        <w:rPr>
          <w:rFonts w:cstheme="minorHAnsi"/>
        </w:rPr>
        <w:t>so that we can assess your situation on a case</w:t>
      </w:r>
      <w:r w:rsidR="00AE4CD6" w:rsidRPr="00AE4CD6">
        <w:rPr>
          <w:rFonts w:cstheme="minorHAnsi"/>
        </w:rPr>
        <w:t>-</w:t>
      </w:r>
      <w:r w:rsidRPr="00AE4CD6">
        <w:rPr>
          <w:rFonts w:cstheme="minorHAnsi"/>
        </w:rPr>
        <w:t>by</w:t>
      </w:r>
      <w:r w:rsidR="00AE4CD6" w:rsidRPr="00AE4CD6">
        <w:rPr>
          <w:rFonts w:cstheme="minorHAnsi"/>
        </w:rPr>
        <w:t>-</w:t>
      </w:r>
      <w:r w:rsidRPr="00AE4CD6">
        <w:rPr>
          <w:rFonts w:cstheme="minorHAnsi"/>
        </w:rPr>
        <w:t>case basis</w:t>
      </w:r>
      <w:r w:rsidR="00AE4CD6" w:rsidRPr="00AE4CD6">
        <w:rPr>
          <w:rFonts w:cstheme="minorHAnsi"/>
        </w:rPr>
        <w:t>, with a view to providing interim support if applicable</w:t>
      </w:r>
      <w:r w:rsidRPr="00AE4CD6">
        <w:rPr>
          <w:rFonts w:cstheme="minorHAnsi"/>
        </w:rPr>
        <w:t>.</w:t>
      </w:r>
    </w:p>
    <w:p w14:paraId="72CAF273" w14:textId="77777777" w:rsidR="006132A1" w:rsidRPr="006132A1" w:rsidRDefault="006132A1" w:rsidP="00AE4CD6">
      <w:pPr>
        <w:pStyle w:val="ListParagraph"/>
        <w:numPr>
          <w:ilvl w:val="1"/>
          <w:numId w:val="15"/>
        </w:numPr>
        <w:spacing w:before="120" w:after="120"/>
        <w:ind w:left="850" w:hanging="425"/>
        <w:contextualSpacing w:val="0"/>
        <w:rPr>
          <w:rFonts w:cstheme="minorHAnsi"/>
        </w:rPr>
      </w:pPr>
      <w:r w:rsidRPr="006132A1">
        <w:rPr>
          <w:rFonts w:cstheme="minorHAnsi"/>
        </w:rPr>
        <w:t xml:space="preserve">PGRs are not expected to ‘make up’ lost time by working significant additional hours or by cancelling planned holidays. </w:t>
      </w:r>
      <w:r w:rsidRPr="00AE4CD6">
        <w:rPr>
          <w:rFonts w:cstheme="minorHAnsi"/>
        </w:rPr>
        <w:t xml:space="preserve">It is a requirement that </w:t>
      </w:r>
      <w:r w:rsidRPr="006132A1">
        <w:rPr>
          <w:rFonts w:cstheme="minorHAnsi"/>
        </w:rPr>
        <w:t>PGRs </w:t>
      </w:r>
      <w:r w:rsidRPr="00AE4CD6">
        <w:rPr>
          <w:rFonts w:cstheme="minorHAnsi"/>
        </w:rPr>
        <w:t>should take</w:t>
      </w:r>
      <w:r w:rsidRPr="006132A1">
        <w:rPr>
          <w:rFonts w:cstheme="minorHAnsi"/>
        </w:rPr>
        <w:t> </w:t>
      </w:r>
      <w:r w:rsidRPr="006132A1">
        <w:rPr>
          <w:rFonts w:cstheme="minorHAnsi"/>
          <w:b/>
          <w:bCs/>
        </w:rPr>
        <w:t>at least </w:t>
      </w:r>
      <w:r w:rsidRPr="006132A1">
        <w:rPr>
          <w:rFonts w:cstheme="minorHAnsi"/>
        </w:rPr>
        <w:t>28 days holiday each academic year</w:t>
      </w:r>
      <w:r w:rsidRPr="00AE4CD6">
        <w:rPr>
          <w:rFonts w:cstheme="minorHAnsi"/>
        </w:rPr>
        <w:t>, and we would encourage all PGRs to maintain a healthy work-life balance.</w:t>
      </w:r>
    </w:p>
    <w:p w14:paraId="6EC4235B" w14:textId="77777777" w:rsidR="0067051D" w:rsidRPr="00AE4CD6" w:rsidRDefault="0067051D" w:rsidP="00AE4CD6">
      <w:pPr>
        <w:pStyle w:val="ListParagraph"/>
        <w:numPr>
          <w:ilvl w:val="1"/>
          <w:numId w:val="15"/>
        </w:numPr>
        <w:spacing w:before="120" w:after="120"/>
        <w:ind w:left="850" w:hanging="425"/>
        <w:contextualSpacing w:val="0"/>
        <w:rPr>
          <w:rFonts w:cstheme="minorHAnsi"/>
        </w:rPr>
      </w:pPr>
      <w:r w:rsidRPr="00AE4CD6">
        <w:rPr>
          <w:rFonts w:cstheme="minorHAnsi"/>
        </w:rPr>
        <w:t xml:space="preserve">In considering </w:t>
      </w:r>
      <w:r w:rsidR="006132A1" w:rsidRPr="00AE4CD6">
        <w:rPr>
          <w:rFonts w:cstheme="minorHAnsi"/>
        </w:rPr>
        <w:t>the length of</w:t>
      </w:r>
      <w:r w:rsidRPr="00AE4CD6">
        <w:rPr>
          <w:rFonts w:cstheme="minorHAnsi"/>
        </w:rPr>
        <w:t xml:space="preserve"> extension</w:t>
      </w:r>
      <w:r w:rsidR="006132A1" w:rsidRPr="00AE4CD6">
        <w:rPr>
          <w:rFonts w:cstheme="minorHAnsi"/>
        </w:rPr>
        <w:t xml:space="preserve"> applied for</w:t>
      </w:r>
      <w:r w:rsidRPr="00AE4CD6">
        <w:rPr>
          <w:rFonts w:cstheme="minorHAnsi"/>
        </w:rPr>
        <w:t xml:space="preserve">, the </w:t>
      </w:r>
      <w:r w:rsidRPr="00AE4CD6">
        <w:rPr>
          <w:rFonts w:cstheme="minorHAnsi"/>
          <w:b/>
          <w:bCs/>
        </w:rPr>
        <w:t>PGR’s best interests</w:t>
      </w:r>
      <w:r w:rsidRPr="00AE4CD6">
        <w:rPr>
          <w:rFonts w:cstheme="minorHAnsi"/>
        </w:rPr>
        <w:t xml:space="preserve"> </w:t>
      </w:r>
      <w:r w:rsidR="006132A1" w:rsidRPr="00AE4CD6">
        <w:rPr>
          <w:rFonts w:cstheme="minorHAnsi"/>
        </w:rPr>
        <w:t xml:space="preserve">should be considered, </w:t>
      </w:r>
      <w:r w:rsidRPr="00AE4CD6">
        <w:rPr>
          <w:rFonts w:cstheme="minorHAnsi"/>
        </w:rPr>
        <w:t>in terms of both degree completion and career progression.</w:t>
      </w:r>
    </w:p>
    <w:p w14:paraId="758D4461" w14:textId="77777777" w:rsidR="00030E6F" w:rsidRPr="00AE4CD6" w:rsidRDefault="00030E6F" w:rsidP="006D1BCF">
      <w:pPr>
        <w:pStyle w:val="ListParagraph"/>
        <w:numPr>
          <w:ilvl w:val="1"/>
          <w:numId w:val="15"/>
        </w:numPr>
        <w:spacing w:before="120" w:after="120"/>
        <w:ind w:left="851" w:hanging="425"/>
        <w:contextualSpacing w:val="0"/>
        <w:rPr>
          <w:rFonts w:cstheme="minorHAnsi"/>
        </w:rPr>
      </w:pPr>
      <w:r w:rsidRPr="00AE4CD6">
        <w:rPr>
          <w:rFonts w:cstheme="minorHAnsi"/>
        </w:rPr>
        <w:lastRenderedPageBreak/>
        <w:t>Where placements (e.g. with CASE partners) are envisaged, we adop</w:t>
      </w:r>
      <w:r w:rsidR="006132A1" w:rsidRPr="00AE4CD6">
        <w:rPr>
          <w:rFonts w:cstheme="minorHAnsi"/>
        </w:rPr>
        <w:t>t</w:t>
      </w:r>
      <w:r w:rsidRPr="00AE4CD6">
        <w:rPr>
          <w:rFonts w:cstheme="minorHAnsi"/>
        </w:rPr>
        <w:t xml:space="preserve"> UKRI’s policy that extensions are “</w:t>
      </w:r>
      <w:r w:rsidRPr="00AE4CD6">
        <w:rPr>
          <w:rFonts w:cstheme="minorHAnsi"/>
          <w:i/>
          <w:iCs/>
        </w:rPr>
        <w:t>intended to enable students to complete their studies and (not) to cover internships/placements unless they are directly related to completion of the research project</w:t>
      </w:r>
      <w:r w:rsidR="006132A1" w:rsidRPr="00AE4CD6">
        <w:rPr>
          <w:rFonts w:cstheme="minorHAnsi"/>
        </w:rPr>
        <w:t>”</w:t>
      </w:r>
      <w:r w:rsidRPr="00AE4CD6">
        <w:rPr>
          <w:rFonts w:cstheme="minorHAnsi"/>
        </w:rPr>
        <w:t xml:space="preserve">. </w:t>
      </w:r>
      <w:proofErr w:type="gramStart"/>
      <w:r w:rsidR="006132A1" w:rsidRPr="00AE4CD6">
        <w:rPr>
          <w:rFonts w:cstheme="minorHAnsi"/>
        </w:rPr>
        <w:t>Also</w:t>
      </w:r>
      <w:proofErr w:type="gramEnd"/>
      <w:r w:rsidR="006132A1" w:rsidRPr="00AE4CD6">
        <w:rPr>
          <w:rFonts w:cstheme="minorHAnsi"/>
        </w:rPr>
        <w:t xml:space="preserve"> that “</w:t>
      </w:r>
      <w:r w:rsidR="006132A1" w:rsidRPr="00AE4CD6">
        <w:rPr>
          <w:rFonts w:cstheme="minorHAnsi"/>
          <w:i/>
          <w:iCs/>
        </w:rPr>
        <w:t>t</w:t>
      </w:r>
      <w:r w:rsidRPr="00AE4CD6">
        <w:rPr>
          <w:rFonts w:cstheme="minorHAnsi"/>
          <w:i/>
          <w:iCs/>
        </w:rPr>
        <w:t>he exception is redeployment onto COVID-19 work</w:t>
      </w:r>
      <w:r w:rsidRPr="00AE4CD6">
        <w:rPr>
          <w:rFonts w:cstheme="minorHAnsi"/>
        </w:rPr>
        <w:t xml:space="preserve">”. Therefore, any placements that are not an indispensable part of the thesis, should be shortened or cancelled if the need for an extension </w:t>
      </w:r>
      <w:r w:rsidR="002C140B" w:rsidRPr="00AE4CD6">
        <w:rPr>
          <w:rFonts w:cstheme="minorHAnsi"/>
        </w:rPr>
        <w:t>is</w:t>
      </w:r>
      <w:r w:rsidRPr="00AE4CD6">
        <w:rPr>
          <w:rFonts w:cstheme="minorHAnsi"/>
        </w:rPr>
        <w:t xml:space="preserve"> </w:t>
      </w:r>
      <w:r w:rsidR="006132A1" w:rsidRPr="00AE4CD6">
        <w:rPr>
          <w:rFonts w:cstheme="minorHAnsi"/>
        </w:rPr>
        <w:t xml:space="preserve">consequently </w:t>
      </w:r>
      <w:r w:rsidRPr="00AE4CD6">
        <w:rPr>
          <w:rFonts w:cstheme="minorHAnsi"/>
        </w:rPr>
        <w:t>removed or reduced.</w:t>
      </w:r>
    </w:p>
    <w:p w14:paraId="478533DA" w14:textId="22BF85CF" w:rsidR="00030E6F" w:rsidRPr="00AE4CD6" w:rsidRDefault="00030E6F" w:rsidP="006D1BCF">
      <w:pPr>
        <w:pStyle w:val="ListParagraph"/>
        <w:numPr>
          <w:ilvl w:val="1"/>
          <w:numId w:val="15"/>
        </w:numPr>
        <w:spacing w:before="120" w:after="120"/>
        <w:ind w:left="851" w:hanging="425"/>
        <w:contextualSpacing w:val="0"/>
        <w:rPr>
          <w:rFonts w:cstheme="minorHAnsi"/>
        </w:rPr>
      </w:pPr>
      <w:r w:rsidRPr="00AE4CD6">
        <w:rPr>
          <w:rFonts w:cstheme="minorHAnsi"/>
        </w:rPr>
        <w:t xml:space="preserve">It is imperative that all PGRs, whether or not they intend to request an extension, </w:t>
      </w:r>
      <w:r w:rsidRPr="00AE4CD6">
        <w:rPr>
          <w:rFonts w:cstheme="minorHAnsi"/>
          <w:b/>
          <w:bCs/>
        </w:rPr>
        <w:t>record and evidence any impacts that the COVID-19 pandemic</w:t>
      </w:r>
      <w:r w:rsidRPr="00AE4CD6">
        <w:rPr>
          <w:rFonts w:cstheme="minorHAnsi"/>
        </w:rPr>
        <w:t xml:space="preserve"> has had on their progress </w:t>
      </w:r>
      <w:r w:rsidR="004F3820">
        <w:rPr>
          <w:rFonts w:cstheme="minorHAnsi"/>
        </w:rPr>
        <w:t>using</w:t>
      </w:r>
      <w:r w:rsidRPr="00AE4CD6">
        <w:rPr>
          <w:rFonts w:cstheme="minorHAnsi"/>
        </w:rPr>
        <w:t xml:space="preserve"> the </w:t>
      </w:r>
      <w:r w:rsidR="006132A1" w:rsidRPr="00AE4CD6">
        <w:rPr>
          <w:rFonts w:cstheme="minorHAnsi"/>
          <w:b/>
          <w:bCs/>
        </w:rPr>
        <w:t>R</w:t>
      </w:r>
      <w:r w:rsidRPr="00AE4CD6">
        <w:rPr>
          <w:rFonts w:cstheme="minorHAnsi"/>
          <w:b/>
          <w:bCs/>
        </w:rPr>
        <w:t xml:space="preserve">isk </w:t>
      </w:r>
      <w:r w:rsidR="006132A1" w:rsidRPr="00AE4CD6">
        <w:rPr>
          <w:rFonts w:cstheme="minorHAnsi"/>
          <w:b/>
          <w:bCs/>
        </w:rPr>
        <w:t>R</w:t>
      </w:r>
      <w:r w:rsidRPr="00AE4CD6">
        <w:rPr>
          <w:rFonts w:cstheme="minorHAnsi"/>
          <w:b/>
          <w:bCs/>
        </w:rPr>
        <w:t>egister</w:t>
      </w:r>
      <w:r w:rsidRPr="00AE4CD6">
        <w:rPr>
          <w:rFonts w:cstheme="minorHAnsi"/>
        </w:rPr>
        <w:t xml:space="preserve"> circulated to all PGRs at the start of the </w:t>
      </w:r>
      <w:r w:rsidR="006132A1" w:rsidRPr="00AE4CD6">
        <w:rPr>
          <w:rFonts w:cstheme="minorHAnsi"/>
        </w:rPr>
        <w:t>‘</w:t>
      </w:r>
      <w:r w:rsidRPr="00AE4CD6">
        <w:rPr>
          <w:rFonts w:cstheme="minorHAnsi"/>
        </w:rPr>
        <w:t>lockdown</w:t>
      </w:r>
      <w:r w:rsidR="006132A1" w:rsidRPr="00AE4CD6">
        <w:rPr>
          <w:rFonts w:cstheme="minorHAnsi"/>
        </w:rPr>
        <w:t>’</w:t>
      </w:r>
      <w:r w:rsidRPr="00AE4CD6">
        <w:rPr>
          <w:rFonts w:cstheme="minorHAnsi"/>
        </w:rPr>
        <w:t>.</w:t>
      </w:r>
    </w:p>
    <w:p w14:paraId="5C22FA5A" w14:textId="77777777" w:rsidR="00BC292D" w:rsidRPr="00AE4CD6" w:rsidRDefault="00BC292D" w:rsidP="006D1BCF">
      <w:pPr>
        <w:pStyle w:val="ListParagraph"/>
        <w:numPr>
          <w:ilvl w:val="1"/>
          <w:numId w:val="15"/>
        </w:numPr>
        <w:spacing w:before="120" w:after="120"/>
        <w:ind w:left="851" w:hanging="425"/>
        <w:contextualSpacing w:val="0"/>
        <w:rPr>
          <w:rFonts w:cstheme="minorHAnsi"/>
        </w:rPr>
      </w:pPr>
      <w:r w:rsidRPr="00AE4CD6">
        <w:rPr>
          <w:rFonts w:cstheme="minorHAnsi"/>
        </w:rPr>
        <w:t>None of the above replaces normal UKRI sick leave provision, and PGRs who are delayed by ill health and can present evidence of such (noting changes in provision of certification introduced during the COVID-19 pandemic)</w:t>
      </w:r>
      <w:r w:rsidR="002C140B" w:rsidRPr="00AE4CD6">
        <w:rPr>
          <w:rFonts w:cstheme="minorHAnsi"/>
        </w:rPr>
        <w:t xml:space="preserve"> to claim this</w:t>
      </w:r>
      <w:r w:rsidRPr="00AE4CD6">
        <w:rPr>
          <w:rFonts w:cstheme="minorHAnsi"/>
        </w:rPr>
        <w:t>.</w:t>
      </w:r>
    </w:p>
    <w:p w14:paraId="44EB2576" w14:textId="47B19661" w:rsidR="00BC292D" w:rsidRDefault="00BC292D" w:rsidP="006D1BCF">
      <w:pPr>
        <w:pStyle w:val="ListParagraph"/>
        <w:numPr>
          <w:ilvl w:val="1"/>
          <w:numId w:val="15"/>
        </w:numPr>
        <w:spacing w:before="120" w:after="120"/>
        <w:ind w:left="851" w:hanging="425"/>
        <w:contextualSpacing w:val="0"/>
        <w:rPr>
          <w:rFonts w:cstheme="minorHAnsi"/>
        </w:rPr>
      </w:pPr>
      <w:r w:rsidRPr="00AE4CD6">
        <w:rPr>
          <w:rFonts w:cstheme="minorHAnsi"/>
        </w:rPr>
        <w:t xml:space="preserve">An extension to the period of studentship funding </w:t>
      </w:r>
      <w:r w:rsidRPr="00AE4CD6">
        <w:rPr>
          <w:rFonts w:cstheme="minorHAnsi"/>
          <w:b/>
          <w:bCs/>
        </w:rPr>
        <w:t>does not automatically extend the thesis submission date</w:t>
      </w:r>
      <w:r w:rsidRPr="00AE4CD6">
        <w:rPr>
          <w:rFonts w:cstheme="minorHAnsi"/>
        </w:rPr>
        <w:t>. This</w:t>
      </w:r>
      <w:r w:rsidR="002C140B" w:rsidRPr="00AE4CD6">
        <w:rPr>
          <w:rFonts w:cstheme="minorHAnsi"/>
        </w:rPr>
        <w:t xml:space="preserve"> latter</w:t>
      </w:r>
      <w:r w:rsidRPr="00AE4CD6">
        <w:rPr>
          <w:rFonts w:cstheme="minorHAnsi"/>
        </w:rPr>
        <w:t xml:space="preserve"> process is handled by the University of Registration, and not by the DTP. PGRs and Supervisors are encouraged to consult with their </w:t>
      </w:r>
      <w:r w:rsidR="0018763A">
        <w:rPr>
          <w:rFonts w:cstheme="minorHAnsi"/>
        </w:rPr>
        <w:t>G</w:t>
      </w:r>
      <w:r w:rsidRPr="00AE4CD6">
        <w:rPr>
          <w:rFonts w:cstheme="minorHAnsi"/>
        </w:rPr>
        <w:t xml:space="preserve">raduate </w:t>
      </w:r>
      <w:r w:rsidR="0018763A">
        <w:rPr>
          <w:rFonts w:cstheme="minorHAnsi"/>
        </w:rPr>
        <w:t>S</w:t>
      </w:r>
      <w:r w:rsidRPr="00AE4CD6">
        <w:rPr>
          <w:rFonts w:cstheme="minorHAnsi"/>
        </w:rPr>
        <w:t>chools or equivalent</w:t>
      </w:r>
      <w:r w:rsidR="002C140B" w:rsidRPr="00AE4CD6">
        <w:rPr>
          <w:rFonts w:cstheme="minorHAnsi"/>
        </w:rPr>
        <w:t xml:space="preserve"> </w:t>
      </w:r>
      <w:r w:rsidR="0018763A">
        <w:rPr>
          <w:rFonts w:cstheme="minorHAnsi"/>
        </w:rPr>
        <w:t>in</w:t>
      </w:r>
      <w:r w:rsidR="002C140B" w:rsidRPr="00AE4CD6">
        <w:rPr>
          <w:rFonts w:cstheme="minorHAnsi"/>
        </w:rPr>
        <w:t xml:space="preserve"> this regard</w:t>
      </w:r>
      <w:r w:rsidRPr="00AE4CD6">
        <w:rPr>
          <w:rFonts w:cstheme="minorHAnsi"/>
        </w:rPr>
        <w:t xml:space="preserve">. Our expectation is that all such requests will be </w:t>
      </w:r>
      <w:r w:rsidR="0018763A">
        <w:rPr>
          <w:rFonts w:cstheme="minorHAnsi"/>
        </w:rPr>
        <w:t>considered</w:t>
      </w:r>
      <w:r w:rsidRPr="00AE4CD6">
        <w:rPr>
          <w:rFonts w:cstheme="minorHAnsi"/>
        </w:rPr>
        <w:t xml:space="preserve"> sympathetically.</w:t>
      </w:r>
    </w:p>
    <w:p w14:paraId="02E2D611" w14:textId="71D91ABD" w:rsidR="001B0557" w:rsidRDefault="001B0557" w:rsidP="001B0557">
      <w:pPr>
        <w:spacing w:before="120" w:after="120"/>
        <w:rPr>
          <w:rFonts w:cstheme="minorHAnsi"/>
        </w:rPr>
      </w:pPr>
    </w:p>
    <w:p w14:paraId="30E3CAA2" w14:textId="77777777" w:rsidR="001B0557" w:rsidRPr="001B0557" w:rsidRDefault="001B0557" w:rsidP="001B0557">
      <w:pPr>
        <w:spacing w:before="120" w:after="120"/>
        <w:rPr>
          <w:rFonts w:cstheme="minorHAnsi"/>
        </w:rPr>
      </w:pPr>
    </w:p>
    <w:p w14:paraId="0C0906BF" w14:textId="77777777" w:rsidR="00033E49" w:rsidRPr="00AE4CD6" w:rsidRDefault="00033E49" w:rsidP="00B22BDD">
      <w:pPr>
        <w:spacing w:before="120" w:after="120"/>
        <w:rPr>
          <w:rFonts w:asciiTheme="minorHAnsi" w:hAnsiTheme="minorHAnsi" w:cstheme="minorHAnsi"/>
        </w:rPr>
      </w:pPr>
    </w:p>
    <w:p w14:paraId="51548FEC" w14:textId="2B7BCE99" w:rsidR="00033E49" w:rsidRPr="00AE4CD6" w:rsidRDefault="00AE4CD6" w:rsidP="001B0557">
      <w:pPr>
        <w:spacing w:before="120" w:after="120"/>
        <w:jc w:val="right"/>
        <w:rPr>
          <w:rFonts w:asciiTheme="minorHAnsi" w:hAnsiTheme="minorHAnsi" w:cstheme="minorHAnsi"/>
        </w:rPr>
      </w:pPr>
      <w:r w:rsidRPr="00AE4CD6">
        <w:rPr>
          <w:rFonts w:asciiTheme="minorHAnsi" w:hAnsiTheme="minorHAnsi" w:cstheme="minorHAnsi"/>
        </w:rPr>
        <w:t>This version (post</w:t>
      </w:r>
      <w:r w:rsidR="001B0557">
        <w:rPr>
          <w:rFonts w:asciiTheme="minorHAnsi" w:hAnsiTheme="minorHAnsi" w:cstheme="minorHAnsi"/>
        </w:rPr>
        <w:t>-</w:t>
      </w:r>
      <w:r w:rsidRPr="00AE4CD6">
        <w:rPr>
          <w:rFonts w:asciiTheme="minorHAnsi" w:hAnsiTheme="minorHAnsi" w:cstheme="minorHAnsi"/>
        </w:rPr>
        <w:t>Strategy Board) updated</w:t>
      </w:r>
      <w:r w:rsidR="00390F74" w:rsidRPr="00AE4CD6">
        <w:rPr>
          <w:rFonts w:asciiTheme="minorHAnsi" w:hAnsiTheme="minorHAnsi" w:cstheme="minorHAnsi"/>
        </w:rPr>
        <w:t xml:space="preserve"> on </w:t>
      </w:r>
      <w:r w:rsidR="001B0557">
        <w:rPr>
          <w:rFonts w:asciiTheme="minorHAnsi" w:hAnsiTheme="minorHAnsi" w:cstheme="minorHAnsi"/>
        </w:rPr>
        <w:t>30</w:t>
      </w:r>
      <w:r w:rsidR="00390F74" w:rsidRPr="00AE4CD6">
        <w:rPr>
          <w:rFonts w:asciiTheme="minorHAnsi" w:hAnsiTheme="minorHAnsi" w:cstheme="minorHAnsi"/>
        </w:rPr>
        <w:t>/04/20</w:t>
      </w:r>
    </w:p>
    <w:p w14:paraId="342235F7" w14:textId="77777777" w:rsidR="00033E49" w:rsidRPr="00AE4CD6" w:rsidRDefault="00033E49" w:rsidP="00B22BDD">
      <w:pPr>
        <w:spacing w:before="120" w:after="120"/>
        <w:rPr>
          <w:rFonts w:asciiTheme="minorHAnsi" w:hAnsiTheme="minorHAnsi" w:cstheme="minorHAnsi"/>
        </w:rPr>
      </w:pPr>
    </w:p>
    <w:sectPr w:rsidR="00033E49" w:rsidRPr="00AE4CD6" w:rsidSect="0017540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D6A0" w14:textId="77777777" w:rsidR="00C36A12" w:rsidRDefault="00C36A12" w:rsidP="00C2419D">
      <w:r>
        <w:separator/>
      </w:r>
    </w:p>
  </w:endnote>
  <w:endnote w:type="continuationSeparator" w:id="0">
    <w:p w14:paraId="05AD0C59" w14:textId="77777777" w:rsidR="00C36A12" w:rsidRDefault="00C36A12" w:rsidP="00C2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6D4C" w14:textId="77777777" w:rsidR="00832DDF" w:rsidRDefault="00832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9AB7" w14:textId="77777777" w:rsidR="00832DDF" w:rsidRDefault="00832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4BEC" w14:textId="77777777" w:rsidR="00832DDF" w:rsidRDefault="00832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697D" w14:textId="77777777" w:rsidR="00C36A12" w:rsidRDefault="00C36A12" w:rsidP="00C2419D">
      <w:r>
        <w:separator/>
      </w:r>
    </w:p>
  </w:footnote>
  <w:footnote w:type="continuationSeparator" w:id="0">
    <w:p w14:paraId="66E07D65" w14:textId="77777777" w:rsidR="00C36A12" w:rsidRDefault="00C36A12" w:rsidP="00C2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608F" w14:textId="44706248" w:rsidR="00C2419D" w:rsidRDefault="00C24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CEFE" w14:textId="26772F89" w:rsidR="00C2419D" w:rsidRDefault="00C24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7E45" w14:textId="0D9912BC" w:rsidR="00C2419D" w:rsidRDefault="00C24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0394"/>
    <w:multiLevelType w:val="multilevel"/>
    <w:tmpl w:val="E8A4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41E41"/>
    <w:multiLevelType w:val="multilevel"/>
    <w:tmpl w:val="BAF4D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80A17"/>
    <w:multiLevelType w:val="hybridMultilevel"/>
    <w:tmpl w:val="6ECAC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54B46"/>
    <w:multiLevelType w:val="multilevel"/>
    <w:tmpl w:val="1CD4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F4E53"/>
    <w:multiLevelType w:val="hybridMultilevel"/>
    <w:tmpl w:val="972E2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525F8"/>
    <w:multiLevelType w:val="hybridMultilevel"/>
    <w:tmpl w:val="43C067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11FE8"/>
    <w:multiLevelType w:val="hybridMultilevel"/>
    <w:tmpl w:val="5BAA2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65663B"/>
    <w:multiLevelType w:val="hybridMultilevel"/>
    <w:tmpl w:val="7E1C72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6360D19"/>
    <w:multiLevelType w:val="multilevel"/>
    <w:tmpl w:val="748C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7121AC"/>
    <w:multiLevelType w:val="multilevel"/>
    <w:tmpl w:val="0960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2B742F"/>
    <w:multiLevelType w:val="multilevel"/>
    <w:tmpl w:val="1482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EB2C34"/>
    <w:multiLevelType w:val="hybridMultilevel"/>
    <w:tmpl w:val="EB7696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4C27C2"/>
    <w:multiLevelType w:val="multilevel"/>
    <w:tmpl w:val="478E8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EA10A8"/>
    <w:multiLevelType w:val="multilevel"/>
    <w:tmpl w:val="7012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7B5CD6"/>
    <w:multiLevelType w:val="hybridMultilevel"/>
    <w:tmpl w:val="972E2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4C689F"/>
    <w:multiLevelType w:val="hybridMultilevel"/>
    <w:tmpl w:val="F32A49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8"/>
  </w:num>
  <w:num w:numId="4">
    <w:abstractNumId w:val="13"/>
  </w:num>
  <w:num w:numId="5">
    <w:abstractNumId w:val="3"/>
  </w:num>
  <w:num w:numId="6">
    <w:abstractNumId w:val="10"/>
  </w:num>
  <w:num w:numId="7">
    <w:abstractNumId w:val="9"/>
  </w:num>
  <w:num w:numId="8">
    <w:abstractNumId w:val="4"/>
  </w:num>
  <w:num w:numId="9">
    <w:abstractNumId w:val="6"/>
  </w:num>
  <w:num w:numId="10">
    <w:abstractNumId w:val="15"/>
  </w:num>
  <w:num w:numId="11">
    <w:abstractNumId w:val="11"/>
  </w:num>
  <w:num w:numId="12">
    <w:abstractNumId w:val="5"/>
  </w:num>
  <w:num w:numId="13">
    <w:abstractNumId w:val="12"/>
  </w:num>
  <w:num w:numId="14">
    <w:abstractNumId w:val="1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06"/>
    <w:rsid w:val="00004218"/>
    <w:rsid w:val="00030E6F"/>
    <w:rsid w:val="00033E49"/>
    <w:rsid w:val="000479D5"/>
    <w:rsid w:val="00052474"/>
    <w:rsid w:val="00063707"/>
    <w:rsid w:val="0008649F"/>
    <w:rsid w:val="000B1D67"/>
    <w:rsid w:val="000D211C"/>
    <w:rsid w:val="000F47B2"/>
    <w:rsid w:val="000F6194"/>
    <w:rsid w:val="00150801"/>
    <w:rsid w:val="00175405"/>
    <w:rsid w:val="0018763A"/>
    <w:rsid w:val="001B0557"/>
    <w:rsid w:val="001C2309"/>
    <w:rsid w:val="001D6892"/>
    <w:rsid w:val="002528A1"/>
    <w:rsid w:val="002B422D"/>
    <w:rsid w:val="002C140B"/>
    <w:rsid w:val="002C59FF"/>
    <w:rsid w:val="00322733"/>
    <w:rsid w:val="00382DDB"/>
    <w:rsid w:val="00390F74"/>
    <w:rsid w:val="003A6B67"/>
    <w:rsid w:val="0043736F"/>
    <w:rsid w:val="004647E1"/>
    <w:rsid w:val="00483AE7"/>
    <w:rsid w:val="004944C6"/>
    <w:rsid w:val="004C37CC"/>
    <w:rsid w:val="004C509D"/>
    <w:rsid w:val="004F3820"/>
    <w:rsid w:val="004F7B0E"/>
    <w:rsid w:val="00514FB9"/>
    <w:rsid w:val="0051695D"/>
    <w:rsid w:val="005943E4"/>
    <w:rsid w:val="005B11C8"/>
    <w:rsid w:val="005E60F2"/>
    <w:rsid w:val="006132A1"/>
    <w:rsid w:val="0067051D"/>
    <w:rsid w:val="00675632"/>
    <w:rsid w:val="006D1BCF"/>
    <w:rsid w:val="006F5BC2"/>
    <w:rsid w:val="007159C4"/>
    <w:rsid w:val="007B4A72"/>
    <w:rsid w:val="007E3D91"/>
    <w:rsid w:val="00806EAC"/>
    <w:rsid w:val="00832DDF"/>
    <w:rsid w:val="008370C3"/>
    <w:rsid w:val="008447D2"/>
    <w:rsid w:val="008545C0"/>
    <w:rsid w:val="00857EE0"/>
    <w:rsid w:val="00873AAE"/>
    <w:rsid w:val="008A7B67"/>
    <w:rsid w:val="008B219F"/>
    <w:rsid w:val="008D1DC8"/>
    <w:rsid w:val="008F3421"/>
    <w:rsid w:val="008F6B10"/>
    <w:rsid w:val="00952377"/>
    <w:rsid w:val="0099656B"/>
    <w:rsid w:val="009B3345"/>
    <w:rsid w:val="009E3903"/>
    <w:rsid w:val="00A21BCB"/>
    <w:rsid w:val="00AC7CCE"/>
    <w:rsid w:val="00AE4CD6"/>
    <w:rsid w:val="00B22BDD"/>
    <w:rsid w:val="00B92669"/>
    <w:rsid w:val="00BC292D"/>
    <w:rsid w:val="00C2419D"/>
    <w:rsid w:val="00C36A12"/>
    <w:rsid w:val="00C744FD"/>
    <w:rsid w:val="00CA7DAB"/>
    <w:rsid w:val="00CB15B3"/>
    <w:rsid w:val="00CE27FC"/>
    <w:rsid w:val="00CE5FB6"/>
    <w:rsid w:val="00D123C3"/>
    <w:rsid w:val="00D21841"/>
    <w:rsid w:val="00D512DF"/>
    <w:rsid w:val="00D93E54"/>
    <w:rsid w:val="00DA7989"/>
    <w:rsid w:val="00DB4832"/>
    <w:rsid w:val="00DF139A"/>
    <w:rsid w:val="00E12596"/>
    <w:rsid w:val="00E24EFA"/>
    <w:rsid w:val="00E53FAF"/>
    <w:rsid w:val="00EB6332"/>
    <w:rsid w:val="00EF5C9C"/>
    <w:rsid w:val="00F01F37"/>
    <w:rsid w:val="00F03471"/>
    <w:rsid w:val="00F2203E"/>
    <w:rsid w:val="00F36806"/>
    <w:rsid w:val="00F6426A"/>
    <w:rsid w:val="00FB089C"/>
    <w:rsid w:val="00FF1CCA"/>
    <w:rsid w:val="00FF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C44D0"/>
  <w14:defaultImageDpi w14:val="32767"/>
  <w15:docId w15:val="{F1040D1F-0ADF-2A47-B8A8-E4A1B152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A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36F"/>
    <w:rPr>
      <w:color w:val="0563C1" w:themeColor="hyperlink"/>
      <w:u w:val="single"/>
    </w:rPr>
  </w:style>
  <w:style w:type="paragraph" w:styleId="BalloonText">
    <w:name w:val="Balloon Text"/>
    <w:basedOn w:val="Normal"/>
    <w:link w:val="BalloonTextChar"/>
    <w:uiPriority w:val="99"/>
    <w:semiHidden/>
    <w:unhideWhenUsed/>
    <w:rsid w:val="007B4A72"/>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B4A7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B4A72"/>
    <w:rPr>
      <w:color w:val="954F72" w:themeColor="followedHyperlink"/>
      <w:u w:val="single"/>
    </w:rPr>
  </w:style>
  <w:style w:type="paragraph" w:styleId="ListParagraph">
    <w:name w:val="List Paragraph"/>
    <w:basedOn w:val="Normal"/>
    <w:uiPriority w:val="34"/>
    <w:qFormat/>
    <w:rsid w:val="002528A1"/>
    <w:pPr>
      <w:ind w:left="720"/>
      <w:contextualSpacing/>
    </w:pPr>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rsid w:val="008F3421"/>
    <w:rPr>
      <w:color w:val="605E5C"/>
      <w:shd w:val="clear" w:color="auto" w:fill="E1DFDD"/>
    </w:rPr>
  </w:style>
  <w:style w:type="paragraph" w:styleId="Header">
    <w:name w:val="header"/>
    <w:basedOn w:val="Normal"/>
    <w:link w:val="HeaderChar"/>
    <w:uiPriority w:val="99"/>
    <w:unhideWhenUsed/>
    <w:rsid w:val="00C2419D"/>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2419D"/>
  </w:style>
  <w:style w:type="paragraph" w:styleId="Footer">
    <w:name w:val="footer"/>
    <w:basedOn w:val="Normal"/>
    <w:link w:val="FooterChar"/>
    <w:uiPriority w:val="99"/>
    <w:unhideWhenUsed/>
    <w:rsid w:val="00C2419D"/>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2419D"/>
  </w:style>
  <w:style w:type="character" w:styleId="CommentReference">
    <w:name w:val="annotation reference"/>
    <w:basedOn w:val="DefaultParagraphFont"/>
    <w:uiPriority w:val="99"/>
    <w:semiHidden/>
    <w:unhideWhenUsed/>
    <w:rsid w:val="00150801"/>
    <w:rPr>
      <w:sz w:val="16"/>
      <w:szCs w:val="16"/>
    </w:rPr>
  </w:style>
  <w:style w:type="paragraph" w:styleId="CommentText">
    <w:name w:val="annotation text"/>
    <w:basedOn w:val="Normal"/>
    <w:link w:val="CommentTextChar"/>
    <w:uiPriority w:val="99"/>
    <w:semiHidden/>
    <w:unhideWhenUsed/>
    <w:rsid w:val="00150801"/>
    <w:rPr>
      <w:sz w:val="20"/>
      <w:szCs w:val="20"/>
    </w:rPr>
  </w:style>
  <w:style w:type="character" w:customStyle="1" w:styleId="CommentTextChar">
    <w:name w:val="Comment Text Char"/>
    <w:basedOn w:val="DefaultParagraphFont"/>
    <w:link w:val="CommentText"/>
    <w:uiPriority w:val="99"/>
    <w:semiHidden/>
    <w:rsid w:val="0015080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0801"/>
    <w:rPr>
      <w:b/>
      <w:bCs/>
    </w:rPr>
  </w:style>
  <w:style w:type="character" w:customStyle="1" w:styleId="CommentSubjectChar">
    <w:name w:val="Comment Subject Char"/>
    <w:basedOn w:val="CommentTextChar"/>
    <w:link w:val="CommentSubject"/>
    <w:uiPriority w:val="99"/>
    <w:semiHidden/>
    <w:rsid w:val="0015080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50563">
      <w:bodyDiv w:val="1"/>
      <w:marLeft w:val="0"/>
      <w:marRight w:val="0"/>
      <w:marTop w:val="0"/>
      <w:marBottom w:val="0"/>
      <w:divBdr>
        <w:top w:val="none" w:sz="0" w:space="0" w:color="auto"/>
        <w:left w:val="none" w:sz="0" w:space="0" w:color="auto"/>
        <w:bottom w:val="none" w:sz="0" w:space="0" w:color="auto"/>
        <w:right w:val="none" w:sz="0" w:space="0" w:color="auto"/>
      </w:divBdr>
    </w:div>
    <w:div w:id="501699168">
      <w:bodyDiv w:val="1"/>
      <w:marLeft w:val="0"/>
      <w:marRight w:val="0"/>
      <w:marTop w:val="0"/>
      <w:marBottom w:val="0"/>
      <w:divBdr>
        <w:top w:val="none" w:sz="0" w:space="0" w:color="auto"/>
        <w:left w:val="none" w:sz="0" w:space="0" w:color="auto"/>
        <w:bottom w:val="none" w:sz="0" w:space="0" w:color="auto"/>
        <w:right w:val="none" w:sz="0" w:space="0" w:color="auto"/>
      </w:divBdr>
    </w:div>
    <w:div w:id="733813463">
      <w:bodyDiv w:val="1"/>
      <w:marLeft w:val="0"/>
      <w:marRight w:val="0"/>
      <w:marTop w:val="0"/>
      <w:marBottom w:val="0"/>
      <w:divBdr>
        <w:top w:val="none" w:sz="0" w:space="0" w:color="auto"/>
        <w:left w:val="none" w:sz="0" w:space="0" w:color="auto"/>
        <w:bottom w:val="none" w:sz="0" w:space="0" w:color="auto"/>
        <w:right w:val="none" w:sz="0" w:space="0" w:color="auto"/>
      </w:divBdr>
    </w:div>
    <w:div w:id="788010614">
      <w:bodyDiv w:val="1"/>
      <w:marLeft w:val="0"/>
      <w:marRight w:val="0"/>
      <w:marTop w:val="0"/>
      <w:marBottom w:val="0"/>
      <w:divBdr>
        <w:top w:val="none" w:sz="0" w:space="0" w:color="auto"/>
        <w:left w:val="none" w:sz="0" w:space="0" w:color="auto"/>
        <w:bottom w:val="none" w:sz="0" w:space="0" w:color="auto"/>
        <w:right w:val="none" w:sz="0" w:space="0" w:color="auto"/>
      </w:divBdr>
    </w:div>
    <w:div w:id="801848507">
      <w:bodyDiv w:val="1"/>
      <w:marLeft w:val="0"/>
      <w:marRight w:val="0"/>
      <w:marTop w:val="0"/>
      <w:marBottom w:val="0"/>
      <w:divBdr>
        <w:top w:val="none" w:sz="0" w:space="0" w:color="auto"/>
        <w:left w:val="none" w:sz="0" w:space="0" w:color="auto"/>
        <w:bottom w:val="none" w:sz="0" w:space="0" w:color="auto"/>
        <w:right w:val="none" w:sz="0" w:space="0" w:color="auto"/>
      </w:divBdr>
    </w:div>
    <w:div w:id="872380386">
      <w:bodyDiv w:val="1"/>
      <w:marLeft w:val="0"/>
      <w:marRight w:val="0"/>
      <w:marTop w:val="0"/>
      <w:marBottom w:val="0"/>
      <w:divBdr>
        <w:top w:val="none" w:sz="0" w:space="0" w:color="auto"/>
        <w:left w:val="none" w:sz="0" w:space="0" w:color="auto"/>
        <w:bottom w:val="none" w:sz="0" w:space="0" w:color="auto"/>
        <w:right w:val="none" w:sz="0" w:space="0" w:color="auto"/>
      </w:divBdr>
    </w:div>
    <w:div w:id="950670530">
      <w:bodyDiv w:val="1"/>
      <w:marLeft w:val="0"/>
      <w:marRight w:val="0"/>
      <w:marTop w:val="0"/>
      <w:marBottom w:val="0"/>
      <w:divBdr>
        <w:top w:val="none" w:sz="0" w:space="0" w:color="auto"/>
        <w:left w:val="none" w:sz="0" w:space="0" w:color="auto"/>
        <w:bottom w:val="none" w:sz="0" w:space="0" w:color="auto"/>
        <w:right w:val="none" w:sz="0" w:space="0" w:color="auto"/>
      </w:divBdr>
      <w:divsChild>
        <w:div w:id="514883056">
          <w:marLeft w:val="0"/>
          <w:marRight w:val="0"/>
          <w:marTop w:val="0"/>
          <w:marBottom w:val="0"/>
          <w:divBdr>
            <w:top w:val="none" w:sz="0" w:space="0" w:color="auto"/>
            <w:left w:val="none" w:sz="0" w:space="0" w:color="auto"/>
            <w:bottom w:val="none" w:sz="0" w:space="0" w:color="auto"/>
            <w:right w:val="none" w:sz="0" w:space="0" w:color="auto"/>
          </w:divBdr>
        </w:div>
        <w:div w:id="2141262066">
          <w:marLeft w:val="0"/>
          <w:marRight w:val="0"/>
          <w:marTop w:val="0"/>
          <w:marBottom w:val="0"/>
          <w:divBdr>
            <w:top w:val="none" w:sz="0" w:space="0" w:color="auto"/>
            <w:left w:val="none" w:sz="0" w:space="0" w:color="auto"/>
            <w:bottom w:val="none" w:sz="0" w:space="0" w:color="auto"/>
            <w:right w:val="none" w:sz="0" w:space="0" w:color="auto"/>
          </w:divBdr>
        </w:div>
        <w:div w:id="660474925">
          <w:marLeft w:val="0"/>
          <w:marRight w:val="0"/>
          <w:marTop w:val="0"/>
          <w:marBottom w:val="0"/>
          <w:divBdr>
            <w:top w:val="none" w:sz="0" w:space="0" w:color="auto"/>
            <w:left w:val="none" w:sz="0" w:space="0" w:color="auto"/>
            <w:bottom w:val="none" w:sz="0" w:space="0" w:color="auto"/>
            <w:right w:val="none" w:sz="0" w:space="0" w:color="auto"/>
          </w:divBdr>
          <w:divsChild>
            <w:div w:id="88162602">
              <w:marLeft w:val="0"/>
              <w:marRight w:val="0"/>
              <w:marTop w:val="0"/>
              <w:marBottom w:val="0"/>
              <w:divBdr>
                <w:top w:val="none" w:sz="0" w:space="0" w:color="auto"/>
                <w:left w:val="none" w:sz="0" w:space="0" w:color="auto"/>
                <w:bottom w:val="none" w:sz="0" w:space="0" w:color="auto"/>
                <w:right w:val="none" w:sz="0" w:space="0" w:color="auto"/>
              </w:divBdr>
            </w:div>
            <w:div w:id="1759715379">
              <w:marLeft w:val="0"/>
              <w:marRight w:val="0"/>
              <w:marTop w:val="0"/>
              <w:marBottom w:val="0"/>
              <w:divBdr>
                <w:top w:val="none" w:sz="0" w:space="0" w:color="auto"/>
                <w:left w:val="none" w:sz="0" w:space="0" w:color="auto"/>
                <w:bottom w:val="none" w:sz="0" w:space="0" w:color="auto"/>
                <w:right w:val="none" w:sz="0" w:space="0" w:color="auto"/>
              </w:divBdr>
              <w:divsChild>
                <w:div w:id="1793278603">
                  <w:marLeft w:val="0"/>
                  <w:marRight w:val="0"/>
                  <w:marTop w:val="0"/>
                  <w:marBottom w:val="0"/>
                  <w:divBdr>
                    <w:top w:val="none" w:sz="0" w:space="0" w:color="auto"/>
                    <w:left w:val="none" w:sz="0" w:space="0" w:color="auto"/>
                    <w:bottom w:val="none" w:sz="0" w:space="0" w:color="auto"/>
                    <w:right w:val="none" w:sz="0" w:space="0" w:color="auto"/>
                  </w:divBdr>
                </w:div>
              </w:divsChild>
            </w:div>
            <w:div w:id="1841309164">
              <w:marLeft w:val="0"/>
              <w:marRight w:val="0"/>
              <w:marTop w:val="0"/>
              <w:marBottom w:val="0"/>
              <w:divBdr>
                <w:top w:val="none" w:sz="0" w:space="0" w:color="auto"/>
                <w:left w:val="none" w:sz="0" w:space="0" w:color="auto"/>
                <w:bottom w:val="none" w:sz="0" w:space="0" w:color="auto"/>
                <w:right w:val="none" w:sz="0" w:space="0" w:color="auto"/>
              </w:divBdr>
              <w:divsChild>
                <w:div w:id="1943872906">
                  <w:marLeft w:val="0"/>
                  <w:marRight w:val="0"/>
                  <w:marTop w:val="0"/>
                  <w:marBottom w:val="0"/>
                  <w:divBdr>
                    <w:top w:val="none" w:sz="0" w:space="0" w:color="auto"/>
                    <w:left w:val="none" w:sz="0" w:space="0" w:color="auto"/>
                    <w:bottom w:val="none" w:sz="0" w:space="0" w:color="auto"/>
                    <w:right w:val="none" w:sz="0" w:space="0" w:color="auto"/>
                  </w:divBdr>
                </w:div>
                <w:div w:id="981737203">
                  <w:marLeft w:val="0"/>
                  <w:marRight w:val="0"/>
                  <w:marTop w:val="0"/>
                  <w:marBottom w:val="0"/>
                  <w:divBdr>
                    <w:top w:val="none" w:sz="0" w:space="0" w:color="auto"/>
                    <w:left w:val="none" w:sz="0" w:space="0" w:color="auto"/>
                    <w:bottom w:val="none" w:sz="0" w:space="0" w:color="auto"/>
                    <w:right w:val="none" w:sz="0" w:space="0" w:color="auto"/>
                  </w:divBdr>
                </w:div>
                <w:div w:id="1810976790">
                  <w:marLeft w:val="0"/>
                  <w:marRight w:val="0"/>
                  <w:marTop w:val="0"/>
                  <w:marBottom w:val="0"/>
                  <w:divBdr>
                    <w:top w:val="none" w:sz="0" w:space="0" w:color="auto"/>
                    <w:left w:val="none" w:sz="0" w:space="0" w:color="auto"/>
                    <w:bottom w:val="none" w:sz="0" w:space="0" w:color="auto"/>
                    <w:right w:val="none" w:sz="0" w:space="0" w:color="auto"/>
                  </w:divBdr>
                </w:div>
                <w:div w:id="632903540">
                  <w:marLeft w:val="0"/>
                  <w:marRight w:val="0"/>
                  <w:marTop w:val="0"/>
                  <w:marBottom w:val="0"/>
                  <w:divBdr>
                    <w:top w:val="none" w:sz="0" w:space="0" w:color="auto"/>
                    <w:left w:val="none" w:sz="0" w:space="0" w:color="auto"/>
                    <w:bottom w:val="none" w:sz="0" w:space="0" w:color="auto"/>
                    <w:right w:val="none" w:sz="0" w:space="0" w:color="auto"/>
                  </w:divBdr>
                  <w:divsChild>
                    <w:div w:id="1540048835">
                      <w:marLeft w:val="0"/>
                      <w:marRight w:val="0"/>
                      <w:marTop w:val="0"/>
                      <w:marBottom w:val="0"/>
                      <w:divBdr>
                        <w:top w:val="none" w:sz="0" w:space="0" w:color="auto"/>
                        <w:left w:val="none" w:sz="0" w:space="0" w:color="auto"/>
                        <w:bottom w:val="none" w:sz="0" w:space="0" w:color="auto"/>
                        <w:right w:val="none" w:sz="0" w:space="0" w:color="auto"/>
                      </w:divBdr>
                    </w:div>
                  </w:divsChild>
                </w:div>
                <w:div w:id="1504012767">
                  <w:marLeft w:val="0"/>
                  <w:marRight w:val="0"/>
                  <w:marTop w:val="0"/>
                  <w:marBottom w:val="0"/>
                  <w:divBdr>
                    <w:top w:val="none" w:sz="0" w:space="0" w:color="auto"/>
                    <w:left w:val="none" w:sz="0" w:space="0" w:color="auto"/>
                    <w:bottom w:val="none" w:sz="0" w:space="0" w:color="auto"/>
                    <w:right w:val="none" w:sz="0" w:space="0" w:color="auto"/>
                  </w:divBdr>
                </w:div>
                <w:div w:id="1132015208">
                  <w:marLeft w:val="0"/>
                  <w:marRight w:val="0"/>
                  <w:marTop w:val="0"/>
                  <w:marBottom w:val="0"/>
                  <w:divBdr>
                    <w:top w:val="none" w:sz="0" w:space="0" w:color="auto"/>
                    <w:left w:val="none" w:sz="0" w:space="0" w:color="auto"/>
                    <w:bottom w:val="none" w:sz="0" w:space="0" w:color="auto"/>
                    <w:right w:val="none" w:sz="0" w:space="0" w:color="auto"/>
                  </w:divBdr>
                </w:div>
              </w:divsChild>
            </w:div>
            <w:div w:id="1864898533">
              <w:marLeft w:val="0"/>
              <w:marRight w:val="0"/>
              <w:marTop w:val="0"/>
              <w:marBottom w:val="0"/>
              <w:divBdr>
                <w:top w:val="none" w:sz="0" w:space="0" w:color="auto"/>
                <w:left w:val="none" w:sz="0" w:space="0" w:color="auto"/>
                <w:bottom w:val="none" w:sz="0" w:space="0" w:color="auto"/>
                <w:right w:val="none" w:sz="0" w:space="0" w:color="auto"/>
              </w:divBdr>
            </w:div>
            <w:div w:id="822425420">
              <w:marLeft w:val="0"/>
              <w:marRight w:val="0"/>
              <w:marTop w:val="0"/>
              <w:marBottom w:val="0"/>
              <w:divBdr>
                <w:top w:val="none" w:sz="0" w:space="0" w:color="auto"/>
                <w:left w:val="none" w:sz="0" w:space="0" w:color="auto"/>
                <w:bottom w:val="none" w:sz="0" w:space="0" w:color="auto"/>
                <w:right w:val="none" w:sz="0" w:space="0" w:color="auto"/>
              </w:divBdr>
            </w:div>
            <w:div w:id="1787507752">
              <w:marLeft w:val="0"/>
              <w:marRight w:val="0"/>
              <w:marTop w:val="0"/>
              <w:marBottom w:val="0"/>
              <w:divBdr>
                <w:top w:val="none" w:sz="0" w:space="0" w:color="auto"/>
                <w:left w:val="none" w:sz="0" w:space="0" w:color="auto"/>
                <w:bottom w:val="none" w:sz="0" w:space="0" w:color="auto"/>
                <w:right w:val="none" w:sz="0" w:space="0" w:color="auto"/>
              </w:divBdr>
            </w:div>
            <w:div w:id="1205604476">
              <w:marLeft w:val="0"/>
              <w:marRight w:val="0"/>
              <w:marTop w:val="0"/>
              <w:marBottom w:val="0"/>
              <w:divBdr>
                <w:top w:val="none" w:sz="0" w:space="0" w:color="auto"/>
                <w:left w:val="none" w:sz="0" w:space="0" w:color="auto"/>
                <w:bottom w:val="none" w:sz="0" w:space="0" w:color="auto"/>
                <w:right w:val="none" w:sz="0" w:space="0" w:color="auto"/>
              </w:divBdr>
              <w:divsChild>
                <w:div w:id="1596598327">
                  <w:marLeft w:val="0"/>
                  <w:marRight w:val="0"/>
                  <w:marTop w:val="0"/>
                  <w:marBottom w:val="0"/>
                  <w:divBdr>
                    <w:top w:val="none" w:sz="0" w:space="0" w:color="auto"/>
                    <w:left w:val="none" w:sz="0" w:space="0" w:color="auto"/>
                    <w:bottom w:val="none" w:sz="0" w:space="0" w:color="auto"/>
                    <w:right w:val="none" w:sz="0" w:space="0" w:color="auto"/>
                  </w:divBdr>
                </w:div>
              </w:divsChild>
            </w:div>
            <w:div w:id="1742830468">
              <w:marLeft w:val="0"/>
              <w:marRight w:val="0"/>
              <w:marTop w:val="0"/>
              <w:marBottom w:val="0"/>
              <w:divBdr>
                <w:top w:val="none" w:sz="0" w:space="0" w:color="auto"/>
                <w:left w:val="none" w:sz="0" w:space="0" w:color="auto"/>
                <w:bottom w:val="none" w:sz="0" w:space="0" w:color="auto"/>
                <w:right w:val="none" w:sz="0" w:space="0" w:color="auto"/>
              </w:divBdr>
            </w:div>
            <w:div w:id="4730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1458">
      <w:bodyDiv w:val="1"/>
      <w:marLeft w:val="0"/>
      <w:marRight w:val="0"/>
      <w:marTop w:val="0"/>
      <w:marBottom w:val="0"/>
      <w:divBdr>
        <w:top w:val="none" w:sz="0" w:space="0" w:color="auto"/>
        <w:left w:val="none" w:sz="0" w:space="0" w:color="auto"/>
        <w:bottom w:val="none" w:sz="0" w:space="0" w:color="auto"/>
        <w:right w:val="none" w:sz="0" w:space="0" w:color="auto"/>
      </w:divBdr>
    </w:div>
    <w:div w:id="1223056220">
      <w:bodyDiv w:val="1"/>
      <w:marLeft w:val="0"/>
      <w:marRight w:val="0"/>
      <w:marTop w:val="0"/>
      <w:marBottom w:val="0"/>
      <w:divBdr>
        <w:top w:val="none" w:sz="0" w:space="0" w:color="auto"/>
        <w:left w:val="none" w:sz="0" w:space="0" w:color="auto"/>
        <w:bottom w:val="none" w:sz="0" w:space="0" w:color="auto"/>
        <w:right w:val="none" w:sz="0" w:space="0" w:color="auto"/>
      </w:divBdr>
    </w:div>
    <w:div w:id="1406223057">
      <w:bodyDiv w:val="1"/>
      <w:marLeft w:val="0"/>
      <w:marRight w:val="0"/>
      <w:marTop w:val="0"/>
      <w:marBottom w:val="0"/>
      <w:divBdr>
        <w:top w:val="none" w:sz="0" w:space="0" w:color="auto"/>
        <w:left w:val="none" w:sz="0" w:space="0" w:color="auto"/>
        <w:bottom w:val="none" w:sz="0" w:space="0" w:color="auto"/>
        <w:right w:val="none" w:sz="0" w:space="0" w:color="auto"/>
      </w:divBdr>
    </w:div>
    <w:div w:id="1589072721">
      <w:bodyDiv w:val="1"/>
      <w:marLeft w:val="0"/>
      <w:marRight w:val="0"/>
      <w:marTop w:val="0"/>
      <w:marBottom w:val="0"/>
      <w:divBdr>
        <w:top w:val="none" w:sz="0" w:space="0" w:color="auto"/>
        <w:left w:val="none" w:sz="0" w:space="0" w:color="auto"/>
        <w:bottom w:val="none" w:sz="0" w:space="0" w:color="auto"/>
        <w:right w:val="none" w:sz="0" w:space="0" w:color="auto"/>
      </w:divBdr>
    </w:div>
    <w:div w:id="1637494658">
      <w:bodyDiv w:val="1"/>
      <w:marLeft w:val="0"/>
      <w:marRight w:val="0"/>
      <w:marTop w:val="0"/>
      <w:marBottom w:val="0"/>
      <w:divBdr>
        <w:top w:val="none" w:sz="0" w:space="0" w:color="auto"/>
        <w:left w:val="none" w:sz="0" w:space="0" w:color="auto"/>
        <w:bottom w:val="none" w:sz="0" w:space="0" w:color="auto"/>
        <w:right w:val="none" w:sz="0" w:space="0" w:color="auto"/>
      </w:divBdr>
    </w:div>
    <w:div w:id="1690721740">
      <w:bodyDiv w:val="1"/>
      <w:marLeft w:val="0"/>
      <w:marRight w:val="0"/>
      <w:marTop w:val="0"/>
      <w:marBottom w:val="0"/>
      <w:divBdr>
        <w:top w:val="none" w:sz="0" w:space="0" w:color="auto"/>
        <w:left w:val="none" w:sz="0" w:space="0" w:color="auto"/>
        <w:bottom w:val="none" w:sz="0" w:space="0" w:color="auto"/>
        <w:right w:val="none" w:sz="0" w:space="0" w:color="auto"/>
      </w:divBdr>
    </w:div>
    <w:div w:id="1786995082">
      <w:bodyDiv w:val="1"/>
      <w:marLeft w:val="0"/>
      <w:marRight w:val="0"/>
      <w:marTop w:val="0"/>
      <w:marBottom w:val="0"/>
      <w:divBdr>
        <w:top w:val="none" w:sz="0" w:space="0" w:color="auto"/>
        <w:left w:val="none" w:sz="0" w:space="0" w:color="auto"/>
        <w:bottom w:val="none" w:sz="0" w:space="0" w:color="auto"/>
        <w:right w:val="none" w:sz="0" w:space="0" w:color="auto"/>
      </w:divBdr>
    </w:div>
    <w:div w:id="1866939996">
      <w:bodyDiv w:val="1"/>
      <w:marLeft w:val="0"/>
      <w:marRight w:val="0"/>
      <w:marTop w:val="0"/>
      <w:marBottom w:val="0"/>
      <w:divBdr>
        <w:top w:val="none" w:sz="0" w:space="0" w:color="auto"/>
        <w:left w:val="none" w:sz="0" w:space="0" w:color="auto"/>
        <w:bottom w:val="none" w:sz="0" w:space="0" w:color="auto"/>
        <w:right w:val="none" w:sz="0" w:space="0" w:color="auto"/>
      </w:divBdr>
    </w:div>
    <w:div w:id="1886211366">
      <w:bodyDiv w:val="1"/>
      <w:marLeft w:val="0"/>
      <w:marRight w:val="0"/>
      <w:marTop w:val="0"/>
      <w:marBottom w:val="0"/>
      <w:divBdr>
        <w:top w:val="none" w:sz="0" w:space="0" w:color="auto"/>
        <w:left w:val="none" w:sz="0" w:space="0" w:color="auto"/>
        <w:bottom w:val="none" w:sz="0" w:space="0" w:color="auto"/>
        <w:right w:val="none" w:sz="0" w:space="0" w:color="auto"/>
      </w:divBdr>
    </w:div>
    <w:div w:id="18896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files/funding/q-a-for-phd-stud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kri.org/news/coronavirus-impact-on-ukri-supported-resear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UEA</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 Sturges</dc:creator>
  <cp:lastModifiedBy>Sophie Buckingham</cp:lastModifiedBy>
  <cp:revision>2</cp:revision>
  <cp:lastPrinted>2020-04-22T15:16:00Z</cp:lastPrinted>
  <dcterms:created xsi:type="dcterms:W3CDTF">2020-04-30T14:31:00Z</dcterms:created>
  <dcterms:modified xsi:type="dcterms:W3CDTF">2020-04-30T14:31:00Z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503277929</vt:i4>
  </property>
  <property fmtid="{D5CDD505-2E9C-101B-9397-08002B2CF9AE}" pid="3" name="_NewReviewCycle">
    <vt:lpwstr/>
  </property>
  <property fmtid="{D5CDD505-2E9C-101B-9397-08002B2CF9AE}" pid="4" name="_EmailSubject">
    <vt:lpwstr>Policy on Extensions</vt:lpwstr>
  </property>
  <property fmtid="{D5CDD505-2E9C-101B-9397-08002B2CF9AE}" pid="5" name="_AuthorEmail">
    <vt:lpwstr>A.Brewer@uea.ac.uk</vt:lpwstr>
  </property>
  <property fmtid="{D5CDD505-2E9C-101B-9397-08002B2CF9AE}" pid="6" name="_AuthorEmailDisplayName">
    <vt:lpwstr>Alice Brewer (PGR - Staff)</vt:lpwstr>
  </property>
  <property fmtid="{D5CDD505-2E9C-101B-9397-08002B2CF9AE}" pid="7" name="_ReviewingToolsShownOnce">
    <vt:lpwstr/>
  </property>
</Properties>
</file>